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18"/>
          <w:szCs w:val="18"/>
          <w:lang w:val="es-ES_tradnl" w:eastAsia="es-ES"/>
        </w:rPr>
        <w:t>EXP. N.° 05624-2009-PHD/TC</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18"/>
          <w:szCs w:val="18"/>
          <w:lang w:val="es-ES_tradnl" w:eastAsia="es-ES"/>
        </w:rPr>
        <w:t>LIMA</w:t>
      </w:r>
    </w:p>
    <w:p w:rsidR="009F6408" w:rsidRPr="009F6408" w:rsidRDefault="009F6408" w:rsidP="009F6408">
      <w:pPr>
        <w:ind w:left="0" w:firstLine="0"/>
        <w:jc w:val="left"/>
        <w:rPr>
          <w:rFonts w:ascii="Times New Roman" w:eastAsiaTheme="minorEastAsia" w:hAnsi="Times New Roman" w:cs="Times New Roman"/>
          <w:b/>
          <w:bCs/>
          <w:sz w:val="18"/>
          <w:szCs w:val="18"/>
          <w:lang w:val="es-ES_tradnl" w:eastAsia="es-ES"/>
        </w:rPr>
      </w:pPr>
      <w:r w:rsidRPr="009F6408">
        <w:rPr>
          <w:rFonts w:ascii="Times New Roman" w:eastAsiaTheme="minorEastAsia" w:hAnsi="Times New Roman" w:cs="Times New Roman"/>
          <w:b/>
          <w:bCs/>
          <w:sz w:val="18"/>
          <w:szCs w:val="18"/>
          <w:lang w:val="es-ES_tradnl" w:eastAsia="es-ES"/>
        </w:rPr>
        <w:t xml:space="preserve">MARGARITA DEL CAMPO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18"/>
          <w:szCs w:val="18"/>
          <w:lang w:val="es-ES_tradnl" w:eastAsia="es-ES"/>
        </w:rPr>
        <w:t>VEGAS</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18"/>
          <w:szCs w:val="18"/>
          <w:lang w:val="es-ES_tradnl" w:eastAsia="es-ES"/>
        </w:rPr>
        <w:t> </w:t>
      </w: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xml:space="preserve">            </w:t>
      </w:r>
    </w:p>
    <w:p w:rsidR="009F6408" w:rsidRPr="009F6408" w:rsidRDefault="009F6408" w:rsidP="009F6408">
      <w:pPr>
        <w:ind w:left="0" w:firstLine="0"/>
        <w:jc w:val="cente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SENTENCIA DEL TRIBUNAL CONSTITUCIONAL</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709"/>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En Lima, al primer día del mes de diciembre de 2010, el Tribunal Constitucional en sesión de Pleno Jurisdiccional, con la asistencia de los magistrados Mesía Ramírez, Beaumont Callirgos, Vergara Gotelli, Calle Hayen, Eto Cruz, Álvarez Miranda y Urviola Hani, pronuncia la siguiente sentencia, con el voto singular del magistrado Álvarez Miranda, que se agrega.</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xml:space="preserve">ASUNTO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w:t>
      </w:r>
    </w:p>
    <w:p w:rsidR="009F6408" w:rsidRPr="009F6408" w:rsidRDefault="009F6408" w:rsidP="009F6408">
      <w:pPr>
        <w:ind w:left="0" w:firstLine="709"/>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Recurso de agravio constitucional interpuesto por doña Margarita Del Campo Vegas  contra la sentencia expedida por la  Segunda Sala Civil de la Corte Superior de Justicia de Lima,  de fojas 142,  su  fecha  28 de abril de 2009, que declaró improcedente la demanda</w:t>
      </w:r>
      <w:r w:rsidRPr="009F6408">
        <w:rPr>
          <w:rFonts w:ascii="Times New Roman" w:eastAsiaTheme="minorEastAsia" w:hAnsi="Times New Roman" w:cs="Times New Roman"/>
          <w:snapToGrid w:val="0"/>
          <w:sz w:val="24"/>
          <w:szCs w:val="24"/>
          <w:lang w:val="es-ES_tradnl" w:eastAsia="es-ES"/>
        </w:rPr>
        <w:t xml:space="preserve"> de hábeas data d</w:t>
      </w:r>
      <w:r w:rsidRPr="009F6408">
        <w:rPr>
          <w:rFonts w:ascii="Times New Roman" w:eastAsiaTheme="minorEastAsia" w:hAnsi="Times New Roman" w:cs="Times New Roman"/>
          <w:sz w:val="24"/>
          <w:szCs w:val="24"/>
          <w:lang w:val="es-ES_tradnl" w:eastAsia="es-ES"/>
        </w:rPr>
        <w:t>e autos.</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xml:space="preserve">ANTECEDENTES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w:t>
      </w:r>
    </w:p>
    <w:p w:rsidR="009F6408" w:rsidRPr="009F6408" w:rsidRDefault="009F6408" w:rsidP="009F6408">
      <w:pPr>
        <w:ind w:left="0" w:firstLine="708"/>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xml:space="preserve">            </w:t>
      </w:r>
      <w:r w:rsidRPr="009F6408">
        <w:rPr>
          <w:rFonts w:ascii="Times New Roman" w:eastAsiaTheme="minorEastAsia" w:hAnsi="Times New Roman" w:cs="Times New Roman"/>
          <w:sz w:val="24"/>
          <w:szCs w:val="24"/>
          <w:lang w:val="es-ES_tradnl" w:eastAsia="es-ES"/>
        </w:rPr>
        <w:t xml:space="preserve">Con fecha 16 de julio de 2008 la recurrente interpone demanda de </w:t>
      </w:r>
      <w:r w:rsidRPr="009F6408">
        <w:rPr>
          <w:rFonts w:ascii="Times New Roman" w:eastAsiaTheme="minorEastAsia" w:hAnsi="Times New Roman" w:cs="Times New Roman"/>
          <w:sz w:val="24"/>
          <w:szCs w:val="24"/>
          <w:lang w:eastAsia="es-ES"/>
        </w:rPr>
        <w:t xml:space="preserve">hábeas data contra los Fiscales Supremos de Control Interno del Ministerio Público y la Fiscalía de la Nación solicitando que dentro del término previsto por ley, los emplazados le entreguen la copia completa del expediente N.º 1678-2007-LIMA. Aduce haber solicitado  mediante documento de fecha 2 de julio de 2008 que la Fiscalía Suprema de Control Interno le corra traslado de los descargos formulados por la doctora Ana María Aranda Rodríguez, en la queja que interpuso contra ésta.  Añade que su  pedido fue desestimado por resolución de fecha 4 de julio de 2008, que declara no ha lugar a lo solicitado, pronunciamiento que contraviene lo dispuesto por el artículo 1.º del Decreto Legislativo N.º 989 y vulnera su derecho de acceso a la información pública, toda vez que </w:t>
      </w:r>
      <w:r w:rsidRPr="009F6408">
        <w:rPr>
          <w:rFonts w:ascii="Times New Roman" w:eastAsiaTheme="minorEastAsia" w:hAnsi="Times New Roman" w:cs="Times New Roman"/>
          <w:sz w:val="24"/>
          <w:szCs w:val="24"/>
          <w:lang w:val="es-MX" w:eastAsia="es-ES"/>
        </w:rPr>
        <w:t xml:space="preserve">la información requerida no atenta contra la seguridad nacional, ni afecta la intimidad personal, ni está exceptuada por ley.  </w:t>
      </w:r>
    </w:p>
    <w:p w:rsidR="009F6408" w:rsidRPr="009F6408" w:rsidRDefault="009F6408" w:rsidP="009F6408">
      <w:pPr>
        <w:ind w:left="0" w:firstLine="708"/>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eastAsia="es-ES"/>
        </w:rPr>
        <w:t> </w:t>
      </w:r>
    </w:p>
    <w:p w:rsidR="009F6408" w:rsidRPr="009F6408" w:rsidRDefault="009F6408" w:rsidP="009F6408">
      <w:pPr>
        <w:ind w:left="0" w:firstLine="708"/>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El Procurador Público encargado de los Asuntos Judiciales del Ministerio Público, contesta la demanda solicitando que sea declarada infundada, aduciendo que nunca se restringió los derechos fundamentales de la demandante y que ésta tuvo acceso al expediente en ejercicio de su derecho de acceso a la información, ello no obstante el carácter reservado de la investigación. </w:t>
      </w:r>
    </w:p>
    <w:p w:rsidR="009F6408" w:rsidRPr="009F6408" w:rsidRDefault="009F6408" w:rsidP="009F6408">
      <w:pPr>
        <w:ind w:left="0" w:firstLine="708"/>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0" w:firstLine="708"/>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El Primer Juzgado Civil de Lima, con fecha 24 de abril de 2009, declaró fundada la demanda de amparo por considerar que no existe afectación de </w:t>
      </w:r>
      <w:r w:rsidRPr="009F6408">
        <w:rPr>
          <w:rFonts w:ascii="Times New Roman" w:eastAsiaTheme="minorEastAsia" w:hAnsi="Times New Roman" w:cs="Times New Roman"/>
          <w:sz w:val="24"/>
          <w:szCs w:val="24"/>
          <w:lang w:val="es-ES_tradnl" w:eastAsia="es-ES"/>
        </w:rPr>
        <w:lastRenderedPageBreak/>
        <w:t xml:space="preserve">derechos constitucionales, toda vez que la recurrente carece de la calidad de causahabiente y por  lo tanto no ostenta el derecho de ser atendida como tal.   </w:t>
      </w:r>
    </w:p>
    <w:p w:rsidR="009F6408" w:rsidRPr="009F6408" w:rsidRDefault="009F6408" w:rsidP="009F6408">
      <w:pPr>
        <w:ind w:left="0" w:firstLine="708"/>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0" w:firstLine="708"/>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xml:space="preserve">A su turno, la Segunda Sala Civil de la Corte Superior de Justicia de Lima, revocando la apelada declaró  improcedente la demanda por considerar que la recurrente antes de interponer el proceso de amparo debió agotar la vía previa, conforme lo prescribe el inciso 4) del artículo 5º del Código Procesal Constitucional.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xml:space="preserve">FUNDAMENTOS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1.  El proceso tiene por objeto que los funcionarios públicos emplazados entreguen a la recurrente  la copia completa de los actuados en la Investigación N.º 1678-2007-LIMA,  en la queja que ésta formuló contra la Vocal Superior Ana María Aranda Rodríguez. A su juicio, la desestimación de su solicitud vulnera su derecho a la información pública.</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 xml:space="preserve">Aspectos de forma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i/>
          <w:iCs/>
          <w:sz w:val="24"/>
          <w:szCs w:val="24"/>
          <w:lang w:val="es-ES" w:eastAsia="es-ES"/>
        </w:rPr>
        <w:t xml:space="preserve">Causales  de   improcedencia:  El   agotamiento   de   la   vía previa en  los  procesos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i/>
          <w:iCs/>
          <w:sz w:val="24"/>
          <w:szCs w:val="24"/>
          <w:lang w:val="es-ES" w:eastAsia="es-ES"/>
        </w:rPr>
        <w:t xml:space="preserve">de hábeas data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2. De manera preliminar a la dilucidación de la presente controversia y habida cuenta del temperamento desestimatorio asumido por la Sala, este Colegiado considera pertinente pronunciarse sobre tal extremo, toda vez que la citada resolución revoca la apelada y reformándola declara improcedente la demanda por considerar que la recurrente no había cumplido con la exigencia de agotar la vía administrativa prevista por el inciso 4) del artículo 5º del Código Procesal Constitucional. </w:t>
      </w:r>
    </w:p>
    <w:p w:rsidR="009F6408" w:rsidRPr="009F6408" w:rsidRDefault="009F6408" w:rsidP="009F6408">
      <w:pP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3. Empero este Colegiado no comparte el criterio señalado,  puesto que como señala expresamente el artículo 62º del Código acotado, al establecer los requisitos especiales que debe contener la demanda de hábeas data, </w:t>
      </w:r>
      <w:r w:rsidRPr="009F6408">
        <w:rPr>
          <w:rFonts w:ascii="Times New Roman" w:eastAsiaTheme="minorEastAsia" w:hAnsi="Times New Roman" w:cs="Times New Roman"/>
          <w:i/>
          <w:iCs/>
          <w:sz w:val="24"/>
          <w:szCs w:val="24"/>
          <w:lang w:val="es-ES_tradnl" w:eastAsia="es-ES"/>
        </w:rPr>
        <w:t>(…) no será necesario agotar la vía administrativa que pudiera existir (sic).</w:t>
      </w:r>
    </w:p>
    <w:p w:rsidR="009F6408" w:rsidRPr="009F6408" w:rsidRDefault="009F6408" w:rsidP="009F6408">
      <w:pPr>
        <w:ind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Por consiguiente, la presente demanda reúne los requisitos de procedibilidad requeridos por el Código Procesal Constitucional para su tramitación, pues para ello no es exigible que la recurrente agote la vía administrativa.</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 xml:space="preserve">Aspectos de fondo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keepNext/>
        <w:ind w:left="0" w:firstLine="0"/>
        <w:jc w:val="left"/>
        <w:outlineLvl w:val="2"/>
        <w:rPr>
          <w:rFonts w:ascii="Times New Roman" w:eastAsia="Times New Roman" w:hAnsi="Times New Roman" w:cs="Times New Roman"/>
          <w:b/>
          <w:bCs/>
          <w:sz w:val="32"/>
          <w:szCs w:val="32"/>
          <w:lang w:eastAsia="es-ES"/>
        </w:rPr>
      </w:pPr>
      <w:r w:rsidRPr="009F6408">
        <w:rPr>
          <w:rFonts w:ascii="Times New Roman" w:eastAsia="Times New Roman" w:hAnsi="Times New Roman" w:cs="Times New Roman"/>
          <w:b/>
          <w:bCs/>
          <w:i/>
          <w:iCs/>
          <w:sz w:val="24"/>
          <w:szCs w:val="24"/>
          <w:lang w:val="es-ES" w:eastAsia="es-ES"/>
        </w:rPr>
        <w:lastRenderedPageBreak/>
        <w:t>Ámbito de protección  y dimensión  del derecho de acceso a la información pública</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hanging="227"/>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4. El derecho fundamental de acceso a la información pública se encuentra reconocido  en el inciso 5) del artículo 2º de la Constitución de 1993, y es enunciado como la facultad de “(…) </w:t>
      </w:r>
      <w:r w:rsidRPr="009F6408">
        <w:rPr>
          <w:rFonts w:ascii="Times New Roman" w:eastAsiaTheme="minorEastAsia" w:hAnsi="Times New Roman" w:cs="Times New Roman"/>
          <w:i/>
          <w:iCs/>
          <w:sz w:val="24"/>
          <w:szCs w:val="24"/>
          <w:lang w:val="es-ES_tradnl" w:eastAsia="es-ES"/>
        </w:rPr>
        <w:t>solicitar sin expresión de causa la información que requiera y a recibirla de cualquier entidad pública, en el plazo legal, con el costo que suponga el pedido.  Se exceptúan las informaciones que afectan la intimidad personal</w:t>
      </w:r>
      <w:r w:rsidRPr="009F6408">
        <w:rPr>
          <w:rFonts w:ascii="Times New Roman" w:eastAsiaTheme="minorEastAsia" w:hAnsi="Times New Roman" w:cs="Times New Roman"/>
          <w:sz w:val="24"/>
          <w:szCs w:val="24"/>
          <w:lang w:val="es-ES_tradnl" w:eastAsia="es-ES"/>
        </w:rPr>
        <w:t xml:space="preserve"> y las que expresamente se excluyan por ley o por razones de seguridad nacional”.</w:t>
      </w:r>
    </w:p>
    <w:p w:rsidR="009F6408" w:rsidRPr="009F6408" w:rsidRDefault="009F6408" w:rsidP="009F6408">
      <w:pPr>
        <w:ind w:hanging="227"/>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hanging="227"/>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También está reconocido en el artículo 13º de la Convención Americana sobre Derechos Humanos, y ha sido desarrollado por la Corte Interamericana de Derechos Humanos en el caso Claude Reyes vs. Chile, del 19 de setiembre del 2006, fundamento 77.</w:t>
      </w:r>
    </w:p>
    <w:p w:rsidR="009F6408" w:rsidRPr="009F6408" w:rsidRDefault="009F6408" w:rsidP="009F6408">
      <w:pPr>
        <w:ind w:left="57"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5. Conforme a la doctrina del Tribunal, específicamente la enunciada en los fundamentos 4 y 5 de la sentencia recaída en el expediente N.º 02579-2003-HD/TC “(…) el derecho de acceso a la información pública se encuentra estrechamente vinculado a uno de los contenidos protegidos por la libertad de información. Y al igual de lo que sucede con esta última, debe indicarse que el derecho de acceso a la información pública tiene una doble dimensión. Por un lado, se trata de un derecho individual, en el sentido de que garantiza que nadie sea arbitrariamente impedido de acceder a la información que guarden, mantengan o elaboren las diversas instancias y organismos que pertenezcan al Estado, sin más limitaciones que aquellas que se han previsto como constitucionalmente legítimas. A través de este derecho se posibilita que los individuos, aisladamente considerados, puedan trazar, de manera libre, su proyecto de vida, pero también el pleno ejercicio y disfrute de otros derechos fundamentales. Desde esta perspectiva, en su dimensión individual, el derecho de acceso a la información se presenta como un presupuesto o medio para el ejercicio de otras libertades fundamentales, como puede ser la libertad de investigación, de opinión o de expresión, por mencionar alguna. </w:t>
      </w:r>
    </w:p>
    <w:p w:rsidR="009F6408" w:rsidRPr="009F6408" w:rsidRDefault="009F6408" w:rsidP="009F6408">
      <w:pPr>
        <w:ind w:left="36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    En tanto que desde su dimensión colectiva el derecho de acceso a la información pública garantiza el derecho de </w:t>
      </w:r>
      <w:r w:rsidRPr="009F6408">
        <w:rPr>
          <w:rFonts w:ascii="Times New Roman" w:eastAsiaTheme="minorEastAsia" w:hAnsi="Times New Roman" w:cs="Times New Roman"/>
          <w:i/>
          <w:iCs/>
          <w:sz w:val="24"/>
          <w:szCs w:val="24"/>
          <w:lang w:val="es-ES_tradnl" w:eastAsia="es-ES"/>
        </w:rPr>
        <w:t>todas</w:t>
      </w:r>
      <w:r w:rsidRPr="009F6408">
        <w:rPr>
          <w:rFonts w:ascii="Times New Roman" w:eastAsiaTheme="minorEastAsia" w:hAnsi="Times New Roman" w:cs="Times New Roman"/>
          <w:sz w:val="24"/>
          <w:szCs w:val="24"/>
          <w:lang w:val="es-ES_tradnl" w:eastAsia="es-ES"/>
        </w:rPr>
        <w:t xml:space="preserve"> las personas de recibir la información necesaria y oportuna, a fin de que pueda formarse una opinión pública, libre e informada, presupuesto de una sociedad auténticamente democrática”.</w:t>
      </w:r>
    </w:p>
    <w:p w:rsidR="009F6408" w:rsidRPr="009F6408" w:rsidRDefault="009F6408" w:rsidP="009F6408">
      <w:pPr>
        <w:ind w:left="36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6.  Así, desde este punto de vista, la información sobre la manera como se maneja la </w:t>
      </w:r>
      <w:r w:rsidRPr="009F6408">
        <w:rPr>
          <w:rFonts w:ascii="Times New Roman" w:eastAsiaTheme="minorEastAsia" w:hAnsi="Times New Roman" w:cs="Times New Roman"/>
          <w:i/>
          <w:iCs/>
          <w:sz w:val="24"/>
          <w:szCs w:val="24"/>
          <w:lang w:val="es-ES_tradnl" w:eastAsia="es-ES"/>
        </w:rPr>
        <w:t xml:space="preserve">res </w:t>
      </w:r>
      <w:r w:rsidRPr="009F6408">
        <w:rPr>
          <w:rFonts w:ascii="Times New Roman" w:eastAsiaTheme="minorEastAsia" w:hAnsi="Times New Roman" w:cs="Times New Roman"/>
          <w:sz w:val="24"/>
          <w:szCs w:val="24"/>
          <w:lang w:val="es-ES_tradnl" w:eastAsia="es-ES"/>
        </w:rPr>
        <w:t xml:space="preserve">pública termina convirtiéndose en un auténtico bien público o colectivo, que ha de estar al alcance de cualquier individuo, no sólo con el fin de posibilitar la plena eficacia de los principios de publicidad y transparencia de la </w:t>
      </w:r>
      <w:r w:rsidRPr="009F6408">
        <w:rPr>
          <w:rFonts w:ascii="Times New Roman" w:eastAsiaTheme="minorEastAsia" w:hAnsi="Times New Roman" w:cs="Times New Roman"/>
          <w:sz w:val="24"/>
          <w:szCs w:val="24"/>
          <w:lang w:val="es-ES_tradnl" w:eastAsia="es-ES"/>
        </w:rPr>
        <w:lastRenderedPageBreak/>
        <w:t xml:space="preserve">Administración Pública, en los que se funda el régimen republicano, sino también como un medio de control institucional sobre los representantes de la sociedad; y también, desde luego, para instar el control sobre aquellos particulares que se encuentran en la capacidad de poder inducir o determinar las conductas de otros particulares o, lo que es más grave en </w:t>
      </w:r>
      <w:r w:rsidRPr="009F6408">
        <w:rPr>
          <w:rFonts w:ascii="Times New Roman" w:eastAsiaTheme="minorEastAsia" w:hAnsi="Times New Roman" w:cs="Times New Roman"/>
          <w:sz w:val="24"/>
          <w:szCs w:val="24"/>
          <w:lang w:val="es-ES" w:eastAsia="es-ES"/>
        </w:rPr>
        <w:t>una sociedad como la que nos toca vivir, su misma subordinación. En consecuencia, la obligación de entrega de las copias solicitadas le corresponde a la Fiscalía de la Nación como representante del Ministerio Público.</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i/>
          <w:iCs/>
          <w:sz w:val="24"/>
          <w:szCs w:val="24"/>
          <w:lang w:val="es-ES" w:eastAsia="es-ES"/>
        </w:rPr>
        <w:t>A</w:t>
      </w:r>
      <w:r w:rsidRPr="009F6408">
        <w:rPr>
          <w:rFonts w:ascii="Times New Roman" w:eastAsiaTheme="minorEastAsia" w:hAnsi="Times New Roman" w:cs="Times New Roman"/>
          <w:b/>
          <w:bCs/>
          <w:i/>
          <w:iCs/>
          <w:sz w:val="24"/>
          <w:szCs w:val="24"/>
          <w:lang w:val="es-MX" w:eastAsia="es-ES"/>
        </w:rPr>
        <w:t>nálisis del caso materia de controversia constitucional</w:t>
      </w:r>
    </w:p>
    <w:p w:rsidR="009F6408" w:rsidRPr="009F6408" w:rsidRDefault="009F6408" w:rsidP="009F6408">
      <w:pPr>
        <w:ind w:left="36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i/>
          <w:iCs/>
          <w:sz w:val="24"/>
          <w:szCs w:val="24"/>
          <w:lang w:val="es-ES" w:eastAsia="es-ES"/>
        </w:rPr>
        <w:t> </w:t>
      </w:r>
    </w:p>
    <w:p w:rsidR="009F6408" w:rsidRPr="009F6408" w:rsidRDefault="009F6408" w:rsidP="009F6408">
      <w:pPr>
        <w:ind w:left="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7. Como se ha señalado precedentemente el objeto del presente proceso es que los Representantes del Ministerio Publico emplazados entreguen a la recurrente copia completa de los actuados en la Investigación N.º 1678-2007-LIMA,  en la queja que ésta presentó contra la Vocal Superior Ana María Aranda Rodríguez.</w:t>
      </w:r>
    </w:p>
    <w:p w:rsidR="009F6408" w:rsidRPr="009F6408" w:rsidRDefault="009F6408" w:rsidP="009F6408">
      <w:pPr>
        <w:ind w:left="426" w:hanging="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426" w:hanging="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8.   Sobre el particular de autos se advierte que en la referencia N.º 1678-2700- LIMA, con fecha 2 de julio de 2008, la recurrente solicitó que se le corra traslado con los descargos efectuados por la magistrado Aranda Rodríguez  (</w:t>
      </w:r>
      <w:r w:rsidRPr="009F6408">
        <w:rPr>
          <w:rFonts w:ascii="Times New Roman" w:eastAsiaTheme="minorEastAsia" w:hAnsi="Times New Roman" w:cs="Times New Roman"/>
          <w:i/>
          <w:iCs/>
          <w:sz w:val="24"/>
          <w:szCs w:val="24"/>
          <w:lang w:val="es-ES_tradnl" w:eastAsia="es-ES"/>
        </w:rPr>
        <w:t>ff</w:t>
      </w:r>
      <w:r w:rsidRPr="009F6408">
        <w:rPr>
          <w:rFonts w:ascii="Times New Roman" w:eastAsiaTheme="minorEastAsia" w:hAnsi="Times New Roman" w:cs="Times New Roman"/>
          <w:sz w:val="24"/>
          <w:szCs w:val="24"/>
          <w:lang w:val="es-ES_tradnl" w:eastAsia="es-ES"/>
        </w:rPr>
        <w:t xml:space="preserve">. 3), petición que fue denegada argumentándose que conforme al  Reglamento de Organización y Funciones de la Fiscalía Suprema de Control Interno  “(…) sólo se expedirá,  a las partes,  copia certificada de la resolución que ponga fin al procedimiento en la instancia respectiva por mandato expreso del Jefe de la Oficina Central o desconcentrada que corresponda,  previo pago de la tasa correspondiente…” (sic). </w:t>
      </w:r>
    </w:p>
    <w:p w:rsidR="009F6408" w:rsidRPr="009F6408" w:rsidRDefault="009F6408" w:rsidP="009F6408">
      <w:pPr>
        <w:ind w:left="36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9.  Tal desestimación lesiona los derechos fundamentales de la recurrente puesto que limita su facultad de acceder a la información que se procesa en el expediente generado a consecuencia de la queja que ella misma formuló; por tanto, ostenta evidente y genuino interés para obrar. Es más la información solicitada, esto es los descargos efectuados por la magistrada quejada, es legítima y está referida a la función jurisdiccional de la quejada; consecuentemente la información requerida no versa ni sobre su </w:t>
      </w:r>
      <w:r w:rsidRPr="009F6408">
        <w:rPr>
          <w:rFonts w:ascii="Times New Roman" w:eastAsiaTheme="minorEastAsia" w:hAnsi="Times New Roman" w:cs="Times New Roman"/>
          <w:i/>
          <w:iCs/>
          <w:sz w:val="24"/>
          <w:szCs w:val="24"/>
          <w:lang w:val="es-ES_tradnl" w:eastAsia="es-ES"/>
        </w:rPr>
        <w:t xml:space="preserve">intimidad personal, </w:t>
      </w:r>
      <w:r w:rsidRPr="009F6408">
        <w:rPr>
          <w:rFonts w:ascii="Times New Roman" w:eastAsiaTheme="minorEastAsia" w:hAnsi="Times New Roman" w:cs="Times New Roman"/>
          <w:sz w:val="24"/>
          <w:szCs w:val="24"/>
          <w:lang w:val="es-ES_tradnl" w:eastAsia="es-ES"/>
        </w:rPr>
        <w:t>ni sobre</w:t>
      </w:r>
      <w:r w:rsidRPr="009F6408">
        <w:rPr>
          <w:rFonts w:ascii="Times New Roman" w:eastAsiaTheme="minorEastAsia" w:hAnsi="Times New Roman" w:cs="Times New Roman"/>
          <w:i/>
          <w:iCs/>
          <w:sz w:val="24"/>
          <w:szCs w:val="24"/>
          <w:lang w:val="es-ES_tradnl" w:eastAsia="es-ES"/>
        </w:rPr>
        <w:t xml:space="preserve"> seguridad</w:t>
      </w:r>
      <w:r w:rsidRPr="009F6408">
        <w:rPr>
          <w:rFonts w:ascii="Times New Roman" w:eastAsiaTheme="minorEastAsia" w:hAnsi="Times New Roman" w:cs="Times New Roman"/>
          <w:sz w:val="24"/>
          <w:szCs w:val="24"/>
          <w:lang w:val="es-ES_tradnl" w:eastAsia="es-ES"/>
        </w:rPr>
        <w:t xml:space="preserve"> </w:t>
      </w:r>
      <w:r w:rsidRPr="009F6408">
        <w:rPr>
          <w:rFonts w:ascii="Times New Roman" w:eastAsiaTheme="minorEastAsia" w:hAnsi="Times New Roman" w:cs="Times New Roman"/>
          <w:i/>
          <w:iCs/>
          <w:sz w:val="24"/>
          <w:szCs w:val="24"/>
          <w:lang w:val="es-ES_tradnl" w:eastAsia="es-ES"/>
        </w:rPr>
        <w:t>nacional</w:t>
      </w:r>
      <w:r w:rsidRPr="009F6408">
        <w:rPr>
          <w:rFonts w:ascii="Times New Roman" w:eastAsiaTheme="minorEastAsia" w:hAnsi="Times New Roman" w:cs="Times New Roman"/>
          <w:sz w:val="24"/>
          <w:szCs w:val="24"/>
          <w:lang w:val="es-ES_tradnl" w:eastAsia="es-ES"/>
        </w:rPr>
        <w:t xml:space="preserve">, previstas por la Norma Constitucional como límite al ejercicio del derecho </w:t>
      </w:r>
      <w:r w:rsidRPr="009F6408">
        <w:rPr>
          <w:rFonts w:ascii="Times New Roman" w:eastAsiaTheme="minorEastAsia" w:hAnsi="Times New Roman" w:cs="Times New Roman"/>
          <w:sz w:val="24"/>
          <w:szCs w:val="24"/>
          <w:lang w:val="es-ES" w:eastAsia="es-ES"/>
        </w:rPr>
        <w:t>de acceso a la información pública</w:t>
      </w:r>
      <w:r w:rsidRPr="009F6408">
        <w:rPr>
          <w:rFonts w:ascii="Times New Roman" w:eastAsiaTheme="minorEastAsia" w:hAnsi="Times New Roman" w:cs="Times New Roman"/>
          <w:sz w:val="24"/>
          <w:szCs w:val="24"/>
          <w:lang w:val="es-ES_tradnl" w:eastAsia="es-ES"/>
        </w:rPr>
        <w:t>.</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xml:space="preserve">     Más aún, las razones invocadas para denegar la expedición de las copias solicitadas evidencian no sólo la carencia de transparencia y arbitrariedad  de la Fiscalía Suprema de Control Interno  Órgano del Ministerio Publico, sino que prevé nuevos supuestos de excepción ajenos a los establecidos por la Constitución, tratándose de un expediente administrativo del que debe dar cuenta la Fiscalía de la Nación como estamento máximo de gobierno del Ministerio Público.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lastRenderedPageBreak/>
        <w:t>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10. En consecuencia, al haberse acreditado la afectación del derecho constitucional invocado por la recurrente, la demanda debe ser estimada en este extremo.</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 </w:t>
      </w:r>
    </w:p>
    <w:p w:rsidR="009F6408" w:rsidRPr="009F6408" w:rsidRDefault="009F6408" w:rsidP="009F6408">
      <w:pPr>
        <w:ind w:left="360" w:hanging="36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11. Finalmente debe subrayarse que la recurrente cursó solicitud únicamente a la Fiscalía Suprema de Control Interno y aunque su pedido de información se circunscribió específicamente a los descargos efectuados por la magistrado quejada sin formular la solicitud a la Fiscalía de la Nación ni mucho menos requirió la copia completa de los actuados en la Investigación N.º 1678-2007-LIMA, por razones de jerarquía debe ser ésta el ente obligado como jefe del gobierno del Ministerio Público.</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MX" w:eastAsia="es-ES"/>
        </w:rPr>
        <w:t>Por estos fundamentos, el Tribunal Constitucional, con la autoridad que le confiere la Constitución Política del Perú</w:t>
      </w:r>
    </w:p>
    <w:p w:rsidR="009F6408" w:rsidRPr="009F6408" w:rsidRDefault="009F6408" w:rsidP="009F6408">
      <w:pPr>
        <w:ind w:left="0" w:firstLine="0"/>
        <w:rPr>
          <w:rFonts w:ascii="Times New Roman" w:eastAsiaTheme="minorEastAsia" w:hAnsi="Times New Roman" w:cs="Times New Roman"/>
          <w:sz w:val="24"/>
          <w:szCs w:val="24"/>
          <w:lang w:eastAsia="es-ES"/>
        </w:rPr>
      </w:pPr>
    </w:p>
    <w:p w:rsidR="009F6408" w:rsidRPr="009F6408" w:rsidRDefault="009F6408" w:rsidP="009F6408">
      <w:pPr>
        <w:ind w:left="0" w:firstLine="0"/>
        <w:jc w:val="cente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HA RESUELTO</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426" w:hanging="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1.</w:t>
      </w:r>
      <w:r w:rsidRPr="009F6408">
        <w:rPr>
          <w:rFonts w:ascii="Times New Roman" w:eastAsiaTheme="minorEastAsia" w:hAnsi="Times New Roman" w:cs="Times New Roman"/>
          <w:sz w:val="14"/>
          <w:szCs w:val="14"/>
          <w:lang w:val="es-ES" w:eastAsia="es-ES"/>
        </w:rPr>
        <w:t xml:space="preserve">        </w:t>
      </w:r>
      <w:r w:rsidRPr="009F6408">
        <w:rPr>
          <w:rFonts w:ascii="Times New Roman" w:eastAsiaTheme="minorEastAsia" w:hAnsi="Times New Roman" w:cs="Times New Roman"/>
          <w:sz w:val="24"/>
          <w:szCs w:val="24"/>
          <w:lang w:eastAsia="es-ES"/>
        </w:rPr>
        <w:t xml:space="preserve">Declarar </w:t>
      </w:r>
      <w:r w:rsidRPr="009F6408">
        <w:rPr>
          <w:rFonts w:ascii="Times New Roman" w:eastAsiaTheme="minorEastAsia" w:hAnsi="Times New Roman" w:cs="Times New Roman"/>
          <w:b/>
          <w:bCs/>
          <w:sz w:val="24"/>
          <w:szCs w:val="24"/>
          <w:lang w:eastAsia="es-ES"/>
        </w:rPr>
        <w:t>FUNDADA</w:t>
      </w:r>
      <w:r w:rsidRPr="009F6408">
        <w:rPr>
          <w:rFonts w:ascii="Times New Roman" w:eastAsiaTheme="minorEastAsia" w:hAnsi="Times New Roman" w:cs="Times New Roman"/>
          <w:sz w:val="24"/>
          <w:szCs w:val="24"/>
          <w:lang w:eastAsia="es-ES"/>
        </w:rPr>
        <w:t xml:space="preserve"> la demanda de hábeas data interpuesta por doña Margarita Del Campo Vegas contra la Fiscalía de la Nación referida a la expedición de  copias certificadas del descargo  formulado por la magistrado </w:t>
      </w:r>
      <w:r w:rsidRPr="009F6408">
        <w:rPr>
          <w:rFonts w:ascii="Times New Roman" w:eastAsiaTheme="minorEastAsia" w:hAnsi="Times New Roman" w:cs="Times New Roman"/>
          <w:sz w:val="24"/>
          <w:szCs w:val="24"/>
          <w:lang w:val="es-ES_tradnl" w:eastAsia="es-ES"/>
        </w:rPr>
        <w:t xml:space="preserve">Aranda Rodríguez. </w:t>
      </w:r>
    </w:p>
    <w:p w:rsidR="009F6408" w:rsidRPr="009F6408" w:rsidRDefault="009F6408" w:rsidP="009F6408">
      <w:pPr>
        <w:ind w:left="426" w:hanging="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426" w:hanging="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2.</w:t>
      </w:r>
      <w:r w:rsidRPr="009F6408">
        <w:rPr>
          <w:rFonts w:ascii="Times New Roman" w:eastAsiaTheme="minorEastAsia" w:hAnsi="Times New Roman" w:cs="Times New Roman"/>
          <w:sz w:val="14"/>
          <w:szCs w:val="14"/>
          <w:lang w:val="es-ES" w:eastAsia="es-ES"/>
        </w:rPr>
        <w:t xml:space="preserve">        </w:t>
      </w:r>
      <w:r w:rsidRPr="009F6408">
        <w:rPr>
          <w:rFonts w:ascii="Times New Roman" w:eastAsiaTheme="minorEastAsia" w:hAnsi="Times New Roman" w:cs="Times New Roman"/>
          <w:b/>
          <w:bCs/>
          <w:sz w:val="24"/>
          <w:szCs w:val="24"/>
          <w:lang w:val="es-ES_tradnl" w:eastAsia="es-ES"/>
        </w:rPr>
        <w:t xml:space="preserve">ORDENAR </w:t>
      </w:r>
      <w:r w:rsidRPr="009F6408">
        <w:rPr>
          <w:rFonts w:ascii="Times New Roman" w:eastAsiaTheme="minorEastAsia" w:hAnsi="Times New Roman" w:cs="Times New Roman"/>
          <w:sz w:val="24"/>
          <w:szCs w:val="24"/>
          <w:lang w:val="es-ES_tradnl" w:eastAsia="es-ES"/>
        </w:rPr>
        <w:t xml:space="preserve">que se entregue a la recurrente, previo pago del costo que suponga el pedido, </w:t>
      </w:r>
      <w:r w:rsidRPr="009F6408">
        <w:rPr>
          <w:rFonts w:ascii="Times New Roman" w:eastAsiaTheme="minorEastAsia" w:hAnsi="Times New Roman" w:cs="Times New Roman"/>
          <w:sz w:val="24"/>
          <w:szCs w:val="24"/>
          <w:lang w:eastAsia="es-ES"/>
        </w:rPr>
        <w:t xml:space="preserve">copias certificadas del descargo  efectuado por la magistrada Superior de Lima, doctora </w:t>
      </w:r>
      <w:r w:rsidRPr="009F6408">
        <w:rPr>
          <w:rFonts w:ascii="Times New Roman" w:eastAsiaTheme="minorEastAsia" w:hAnsi="Times New Roman" w:cs="Times New Roman"/>
          <w:sz w:val="24"/>
          <w:szCs w:val="24"/>
          <w:lang w:val="es-ES_tradnl" w:eastAsia="es-ES"/>
        </w:rPr>
        <w:t>Aranda Rodríguez, en la Investigación N.º 1678-2007-LIMA.</w:t>
      </w:r>
    </w:p>
    <w:p w:rsidR="009F6408" w:rsidRPr="009F6408" w:rsidRDefault="009F6408" w:rsidP="009F6408">
      <w:pPr>
        <w:ind w:left="426" w:hanging="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426" w:hanging="426"/>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xml:space="preserve">3.    </w:t>
      </w:r>
      <w:r w:rsidRPr="009F6408">
        <w:rPr>
          <w:rFonts w:ascii="Times New Roman" w:eastAsiaTheme="minorEastAsia" w:hAnsi="Times New Roman" w:cs="Times New Roman"/>
          <w:b/>
          <w:bCs/>
          <w:sz w:val="24"/>
          <w:szCs w:val="24"/>
          <w:lang w:val="es-ES_tradnl" w:eastAsia="es-ES"/>
        </w:rPr>
        <w:t>PREVENIR</w:t>
      </w:r>
      <w:r w:rsidRPr="009F6408">
        <w:rPr>
          <w:rFonts w:ascii="Times New Roman" w:eastAsiaTheme="minorEastAsia" w:hAnsi="Times New Roman" w:cs="Times New Roman"/>
          <w:sz w:val="24"/>
          <w:szCs w:val="24"/>
          <w:lang w:val="es-ES_tradnl" w:eastAsia="es-ES"/>
        </w:rPr>
        <w:t xml:space="preserve"> a los Fiscales integrantes de la Fiscalía Suprema de Control Interno del Ministerio Público para que eviten volver a incurrir en las acciones u omisiones ilegítimas que originaron el presente proceso, de conformidad con lo expuesto en el fundamento 9.</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Publíquese y notifíquese.</w:t>
      </w:r>
    </w:p>
    <w:p w:rsidR="009F6408" w:rsidRPr="009F6408" w:rsidRDefault="009F6408" w:rsidP="009F6408">
      <w:pPr>
        <w:ind w:left="0" w:firstLine="0"/>
        <w:rPr>
          <w:rFonts w:ascii="Times New Roman" w:eastAsiaTheme="minorEastAsia" w:hAnsi="Times New Roman" w:cs="Times New Roman"/>
          <w:sz w:val="24"/>
          <w:szCs w:val="24"/>
          <w:lang w:val="es-ES_tradnl"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eastAsia="es-ES"/>
        </w:rPr>
        <w:t>SS.</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MESÍA RAMÍREZ</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BEAUMONT CALLIRGOS</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VERGARA GOTELLI</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CALLE HAYEN</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t>ETO CRUZ</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URVIOLA HANI</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lastRenderedPageBreak/>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xml:space="preserve">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b/>
          <w:bCs/>
          <w:sz w:val="24"/>
          <w:szCs w:val="24"/>
          <w:lang w:eastAsia="es-ES"/>
        </w:rPr>
      </w:pP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18"/>
          <w:szCs w:val="18"/>
          <w:lang w:val="es-ES_tradnl" w:eastAsia="es-ES"/>
        </w:rPr>
        <w:t>EXP. N.° 05624-2009-PHD/TC</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18"/>
          <w:szCs w:val="18"/>
          <w:lang w:val="es-ES_tradnl" w:eastAsia="es-ES"/>
        </w:rPr>
        <w:t>LIMA</w:t>
      </w:r>
    </w:p>
    <w:p w:rsidR="009F6408" w:rsidRPr="009F6408" w:rsidRDefault="009F6408" w:rsidP="009F6408">
      <w:pPr>
        <w:ind w:left="0" w:firstLine="0"/>
        <w:jc w:val="left"/>
        <w:rPr>
          <w:rFonts w:ascii="Times New Roman" w:eastAsiaTheme="minorEastAsia" w:hAnsi="Times New Roman" w:cs="Times New Roman"/>
          <w:b/>
          <w:bCs/>
          <w:sz w:val="18"/>
          <w:szCs w:val="18"/>
          <w:lang w:val="es-ES_tradnl" w:eastAsia="es-ES"/>
        </w:rPr>
      </w:pPr>
      <w:r w:rsidRPr="009F6408">
        <w:rPr>
          <w:rFonts w:ascii="Times New Roman" w:eastAsiaTheme="minorEastAsia" w:hAnsi="Times New Roman" w:cs="Times New Roman"/>
          <w:b/>
          <w:bCs/>
          <w:sz w:val="18"/>
          <w:szCs w:val="18"/>
          <w:lang w:val="es-ES_tradnl" w:eastAsia="es-ES"/>
        </w:rPr>
        <w:t xml:space="preserve">MARGARITA DEL CAMPO </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18"/>
          <w:szCs w:val="18"/>
          <w:lang w:val="es-ES_tradnl" w:eastAsia="es-ES"/>
        </w:rPr>
        <w:t>VEGAS</w:t>
      </w:r>
    </w:p>
    <w:p w:rsidR="009F6408" w:rsidRPr="009F6408" w:rsidRDefault="009F6408" w:rsidP="009F6408">
      <w:pPr>
        <w:ind w:left="0" w:firstLine="0"/>
        <w:jc w:val="left"/>
        <w:rPr>
          <w:rFonts w:ascii="Times New Roman" w:eastAsiaTheme="minorEastAsia" w:hAnsi="Times New Roman" w:cs="Times New Roman"/>
          <w:sz w:val="24"/>
          <w:szCs w:val="24"/>
          <w:lang w:eastAsia="es-ES"/>
        </w:rPr>
      </w:pPr>
    </w:p>
    <w:p w:rsidR="009F6408" w:rsidRPr="009F6408" w:rsidRDefault="009F6408" w:rsidP="009F6408">
      <w:pPr>
        <w:ind w:left="0" w:firstLine="0"/>
        <w:jc w:val="left"/>
        <w:rPr>
          <w:rFonts w:ascii="Times New Roman" w:eastAsia="Times New Roman" w:hAnsi="Times New Roman" w:cs="Times New Roman"/>
          <w:sz w:val="24"/>
          <w:szCs w:val="24"/>
          <w:lang w:eastAsia="es-ES"/>
        </w:rPr>
      </w:pPr>
      <w:r w:rsidRPr="009F6408">
        <w:rPr>
          <w:rFonts w:ascii="Times New Roman" w:eastAsiaTheme="minorEastAsia" w:hAnsi="Times New Roman" w:cs="Times New Roman"/>
          <w:b/>
          <w:bCs/>
          <w:sz w:val="24"/>
          <w:szCs w:val="24"/>
          <w:lang w:eastAsia="es-ES"/>
        </w:rPr>
        <w:t> </w:t>
      </w:r>
    </w:p>
    <w:p w:rsidR="009F6408" w:rsidRPr="009F6408" w:rsidRDefault="009F6408" w:rsidP="009F6408">
      <w:pPr>
        <w:ind w:left="0" w:firstLine="0"/>
        <w:jc w:val="cente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 w:eastAsia="es-ES"/>
        </w:rPr>
        <w:lastRenderedPageBreak/>
        <w:t>VOTO SINGULAR DEL MAGISTRADO ÁLVAREZ MIRANDA</w:t>
      </w:r>
    </w:p>
    <w:p w:rsidR="009F6408" w:rsidRPr="009F6408" w:rsidRDefault="009F6408" w:rsidP="009F6408">
      <w:pPr>
        <w:ind w:left="0" w:firstLine="0"/>
        <w:jc w:val="center"/>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_tradnl" w:eastAsia="es-ES"/>
        </w:rPr>
        <w:t>Con el debido respeto por la opinión vertida por el resto de mis colegas magistrados, emito el siguiente voto singular, por cuanto no concuerdo con los argumentos ni con el fallo de la Sentencia de la mayoría.</w:t>
      </w:r>
    </w:p>
    <w:p w:rsidR="009F6408" w:rsidRPr="009F6408" w:rsidRDefault="009F6408" w:rsidP="009F6408">
      <w:pPr>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val="es-ES" w:eastAsia="es-ES"/>
        </w:rPr>
        <w:t>§</w:t>
      </w:r>
      <w:r w:rsidRPr="009F6408">
        <w:rPr>
          <w:rFonts w:ascii="Times New Roman" w:eastAsiaTheme="minorEastAsia" w:hAnsi="Times New Roman" w:cs="Times New Roman"/>
          <w:sz w:val="14"/>
          <w:szCs w:val="14"/>
          <w:lang w:val="es-ES" w:eastAsia="es-ES"/>
        </w:rPr>
        <w:t xml:space="preserve">        </w:t>
      </w:r>
      <w:r w:rsidRPr="009F6408">
        <w:rPr>
          <w:rFonts w:ascii="Times New Roman" w:eastAsiaTheme="minorEastAsia" w:hAnsi="Times New Roman" w:cs="Times New Roman"/>
          <w:b/>
          <w:bCs/>
          <w:sz w:val="24"/>
          <w:szCs w:val="24"/>
          <w:lang w:val="es-ES" w:eastAsia="es-ES"/>
        </w:rPr>
        <w:t>Marco Normativo del Habeas Data relacionado al Acceso a la Información Pública.-</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numPr>
          <w:ilvl w:val="0"/>
          <w:numId w:val="1"/>
        </w:numPr>
        <w:rPr>
          <w:rFonts w:ascii="Times New Roman" w:eastAsia="Times New Roman" w:hAnsi="Times New Roman" w:cs="Times New Roman"/>
          <w:sz w:val="24"/>
          <w:szCs w:val="24"/>
          <w:lang w:eastAsia="es-ES"/>
        </w:rPr>
      </w:pPr>
      <w:r w:rsidRPr="009F6408">
        <w:rPr>
          <w:rFonts w:ascii="Times New Roman" w:eastAsia="Times New Roman" w:hAnsi="Times New Roman" w:cs="Times New Roman"/>
          <w:sz w:val="24"/>
          <w:szCs w:val="24"/>
          <w:lang w:val="es-ES" w:eastAsia="es-ES"/>
        </w:rPr>
        <w:t xml:space="preserve">Según el numeral 3 del artículo 200° de nuestra Constitución, el hábeas data procede, entre otros supuestos, cuando se vulnere lo previsto en el numeral 5 del artículo 2° de la Norma Fundamental, el mismo que estipula que, entre otras cosas, toda persona tiene derecho a </w:t>
      </w:r>
      <w:r w:rsidRPr="009F6408">
        <w:rPr>
          <w:rFonts w:ascii="Times New Roman" w:eastAsia="Times New Roman" w:hAnsi="Times New Roman" w:cs="Times New Roman"/>
          <w:i/>
          <w:iCs/>
          <w:sz w:val="24"/>
          <w:szCs w:val="24"/>
          <w:lang w:val="es-ES" w:eastAsia="es-ES"/>
        </w:rPr>
        <w:t>“(…)</w:t>
      </w:r>
      <w:r w:rsidRPr="009F6408">
        <w:rPr>
          <w:rFonts w:ascii="Times New Roman" w:eastAsia="Times New Roman" w:hAnsi="Times New Roman" w:cs="Times New Roman"/>
          <w:i/>
          <w:iCs/>
          <w:sz w:val="24"/>
          <w:szCs w:val="24"/>
          <w:lang w:val="es-ES_tradnl" w:eastAsia="es-ES"/>
        </w:rPr>
        <w:t xml:space="preserve">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w:t>
      </w:r>
      <w:r w:rsidRPr="009F6408">
        <w:rPr>
          <w:rFonts w:ascii="Times New Roman" w:eastAsiaTheme="minorEastAsia" w:hAnsi="Times New Roman" w:cs="Times New Roman"/>
          <w:sz w:val="24"/>
          <w:szCs w:val="24"/>
          <w:lang w:eastAsia="es-ES"/>
        </w:rPr>
        <w:t xml:space="preserve"> </w:t>
      </w:r>
    </w:p>
    <w:p w:rsidR="009F6408" w:rsidRPr="009F6408" w:rsidRDefault="009F6408" w:rsidP="009F6408">
      <w:pPr>
        <w:ind w:left="72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numPr>
          <w:ilvl w:val="0"/>
          <w:numId w:val="2"/>
        </w:numPr>
        <w:rPr>
          <w:rFonts w:ascii="Times New Roman" w:eastAsia="Times New Roman" w:hAnsi="Times New Roman" w:cs="Times New Roman"/>
          <w:sz w:val="24"/>
          <w:szCs w:val="24"/>
          <w:lang w:eastAsia="es-ES"/>
        </w:rPr>
      </w:pPr>
      <w:r w:rsidRPr="009F6408">
        <w:rPr>
          <w:rFonts w:ascii="Times New Roman" w:eastAsia="Times New Roman" w:hAnsi="Times New Roman" w:cs="Times New Roman"/>
          <w:sz w:val="24"/>
          <w:szCs w:val="24"/>
          <w:lang w:val="es-ES" w:eastAsia="es-ES"/>
        </w:rPr>
        <w:t xml:space="preserve">En esa línea, el numeral 1 del artículo 61º del Código Procesal Constitucional prescribe que toda persona puede acudir a dicho proceso para </w:t>
      </w:r>
      <w:r w:rsidRPr="009F6408">
        <w:rPr>
          <w:rFonts w:ascii="Times New Roman" w:eastAsia="Times New Roman" w:hAnsi="Times New Roman" w:cs="Times New Roman"/>
          <w:i/>
          <w:iCs/>
          <w:sz w:val="24"/>
          <w:szCs w:val="24"/>
          <w:lang w:val="es-ES" w:eastAsia="es-ES"/>
        </w:rPr>
        <w:t>“(a)cceder a información que obre en poder de cualquier entidad pública, ya se trate de la que generen, produzcan, procesen o posean, incluida la que obra en expedientes terminados o en trámite, estudios, dictámenes, opiniones, datos estadísticos, informes técnicos y cualquier otro documento que la administración pública tenga en su poder, cualquiera que sea la forma de expresión, ya sea gráfica, sonora, visual, electromagnética o que obre en cualquier otro tipo de soporte material.”</w:t>
      </w:r>
      <w:r w:rsidRPr="009F6408">
        <w:rPr>
          <w:rFonts w:ascii="Times New Roman" w:eastAsiaTheme="minorEastAsia" w:hAnsi="Times New Roman" w:cs="Times New Roman"/>
          <w:sz w:val="24"/>
          <w:szCs w:val="24"/>
          <w:lang w:eastAsia="es-ES"/>
        </w:rPr>
        <w:t xml:space="preserve"> </w:t>
      </w:r>
    </w:p>
    <w:p w:rsidR="009F6408" w:rsidRPr="009F6408" w:rsidRDefault="009F6408" w:rsidP="009F6408">
      <w:pPr>
        <w:ind w:left="72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numPr>
          <w:ilvl w:val="0"/>
          <w:numId w:val="3"/>
        </w:numPr>
        <w:rPr>
          <w:rFonts w:ascii="Times New Roman" w:eastAsia="Times New Roman" w:hAnsi="Times New Roman" w:cs="Times New Roman"/>
          <w:sz w:val="24"/>
          <w:szCs w:val="24"/>
          <w:lang w:eastAsia="es-ES"/>
        </w:rPr>
      </w:pPr>
      <w:r w:rsidRPr="009F6408">
        <w:rPr>
          <w:rFonts w:ascii="Times New Roman" w:eastAsia="Times New Roman" w:hAnsi="Times New Roman" w:cs="Times New Roman"/>
          <w:sz w:val="24"/>
          <w:szCs w:val="24"/>
          <w:lang w:val="es-ES" w:eastAsia="es-ES"/>
        </w:rPr>
        <w:t xml:space="preserve">Asimismo, considero que debe tenerse presente que como parte del bloque de constitucionalidad del mencionado numeral 5 del artículo 2° de nuestra Carta Magna, se encuentra la Ley N° 27806, Ley de Transparencia y Acceso a la Información Pública, la misma que establece expresamente en su artículo 2° que </w:t>
      </w:r>
      <w:r w:rsidRPr="009F6408">
        <w:rPr>
          <w:rFonts w:ascii="Times New Roman" w:eastAsia="Times New Roman" w:hAnsi="Times New Roman" w:cs="Times New Roman"/>
          <w:i/>
          <w:iCs/>
          <w:sz w:val="24"/>
          <w:szCs w:val="24"/>
          <w:lang w:val="es-ES" w:eastAsia="es-ES"/>
        </w:rPr>
        <w:t xml:space="preserve">“(p)ara efectos de la presente Ley, se entiende por entidades de la Administración Pública a las señaladas en el Artículo I del Título Preliminar de la Ley Nº 27444, Ley del Procedimiento Administrativo General”. </w:t>
      </w:r>
      <w:r w:rsidRPr="009F6408">
        <w:rPr>
          <w:rFonts w:ascii="Times New Roman" w:eastAsia="Times New Roman" w:hAnsi="Times New Roman" w:cs="Times New Roman"/>
          <w:sz w:val="24"/>
          <w:szCs w:val="24"/>
          <w:lang w:val="es-ES" w:eastAsia="es-ES"/>
        </w:rPr>
        <w:t xml:space="preserve">Por ello, resulta necesario acudir a esta última para poder descubrir qué entidades pueden ser consideradas como públicas, y por lo tanto, sujetas a la respuesta de la información que se requiera. </w:t>
      </w:r>
    </w:p>
    <w:p w:rsidR="009F6408" w:rsidRPr="009F6408" w:rsidRDefault="009F6408" w:rsidP="009F6408">
      <w:pPr>
        <w:ind w:left="72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numPr>
          <w:ilvl w:val="0"/>
          <w:numId w:val="4"/>
        </w:numPr>
        <w:rPr>
          <w:rFonts w:ascii="Times New Roman" w:eastAsia="Times New Roman" w:hAnsi="Times New Roman" w:cs="Times New Roman"/>
          <w:sz w:val="24"/>
          <w:szCs w:val="24"/>
          <w:lang w:eastAsia="es-ES"/>
        </w:rPr>
      </w:pPr>
      <w:r w:rsidRPr="009F6408">
        <w:rPr>
          <w:rFonts w:ascii="Times New Roman" w:eastAsia="Times New Roman" w:hAnsi="Times New Roman" w:cs="Times New Roman"/>
          <w:sz w:val="24"/>
          <w:szCs w:val="24"/>
          <w:lang w:val="es-ES" w:eastAsia="es-ES"/>
        </w:rPr>
        <w:t xml:space="preserve">De acuerdo con el artículo I del Título Preliminar de la Ley N° 27444, Ley del Procedimiento Administrativo General, para los fines de dicha ley, y en virtud a la remisión exigida, también para la Ley N° 27806, Ley de Transparencia y Acceso a la Información Pública, y por ende, para el numeral 5 del artículo 2º de la Constitución, se entenderá por ‘entidad’ o </w:t>
      </w:r>
      <w:r w:rsidRPr="009F6408">
        <w:rPr>
          <w:rFonts w:ascii="Times New Roman" w:eastAsia="Times New Roman" w:hAnsi="Times New Roman" w:cs="Times New Roman"/>
          <w:sz w:val="24"/>
          <w:szCs w:val="24"/>
          <w:lang w:val="es-ES" w:eastAsia="es-ES"/>
        </w:rPr>
        <w:lastRenderedPageBreak/>
        <w:t>‘entidades’ de la  Administración Pública, entre otros al Ministerio Público (inciso 6 del citado artículo del Título Preliminar).</w:t>
      </w:r>
      <w:r w:rsidRPr="009F6408">
        <w:rPr>
          <w:rFonts w:ascii="Times New Roman" w:eastAsiaTheme="minorEastAsia" w:hAnsi="Times New Roman" w:cs="Times New Roman"/>
          <w:sz w:val="24"/>
          <w:szCs w:val="24"/>
          <w:lang w:eastAsia="es-ES"/>
        </w:rPr>
        <w:t xml:space="preserve"> </w:t>
      </w:r>
    </w:p>
    <w:p w:rsidR="009F6408" w:rsidRPr="009F6408" w:rsidRDefault="009F6408" w:rsidP="009F6408">
      <w:pPr>
        <w:ind w:left="72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numPr>
          <w:ilvl w:val="0"/>
          <w:numId w:val="5"/>
        </w:numPr>
        <w:rPr>
          <w:rFonts w:ascii="Times New Roman" w:eastAsia="Times New Roman" w:hAnsi="Times New Roman" w:cs="Times New Roman"/>
          <w:sz w:val="24"/>
          <w:szCs w:val="24"/>
          <w:lang w:eastAsia="es-ES"/>
        </w:rPr>
      </w:pPr>
      <w:r w:rsidRPr="009F6408">
        <w:rPr>
          <w:rFonts w:ascii="Times New Roman" w:eastAsia="Times New Roman" w:hAnsi="Times New Roman" w:cs="Times New Roman"/>
          <w:sz w:val="24"/>
          <w:szCs w:val="24"/>
          <w:lang w:val="es-ES_tradnl" w:eastAsia="es-ES"/>
        </w:rPr>
        <w:t xml:space="preserve">Adicionalmente, debe tenerse presente que conforme al artículo 10º de la Ley Nº 27806, Ley de Transparencia y Acceso a la Información Pública se entiende por información pública a </w:t>
      </w:r>
      <w:r w:rsidRPr="009F6408">
        <w:rPr>
          <w:rFonts w:ascii="Times New Roman" w:eastAsia="Times New Roman" w:hAnsi="Times New Roman" w:cs="Times New Roman"/>
          <w:i/>
          <w:iCs/>
          <w:sz w:val="24"/>
          <w:szCs w:val="24"/>
          <w:lang w:val="es-ES_tradnl" w:eastAsia="es-ES"/>
        </w:rPr>
        <w:t xml:space="preserve">“cualquier tipo de documentación financiada por el presupuesto público que sirva de base a una decisión de </w:t>
      </w:r>
      <w:r w:rsidRPr="009F6408">
        <w:rPr>
          <w:rFonts w:ascii="Times New Roman" w:eastAsia="Times New Roman" w:hAnsi="Times New Roman" w:cs="Times New Roman"/>
          <w:b/>
          <w:bCs/>
          <w:i/>
          <w:iCs/>
          <w:sz w:val="24"/>
          <w:szCs w:val="24"/>
          <w:lang w:val="es-ES_tradnl" w:eastAsia="es-ES"/>
        </w:rPr>
        <w:t xml:space="preserve">naturaleza administrativa, </w:t>
      </w:r>
      <w:r w:rsidRPr="009F6408">
        <w:rPr>
          <w:rFonts w:ascii="Times New Roman" w:eastAsia="Times New Roman" w:hAnsi="Times New Roman" w:cs="Times New Roman"/>
          <w:i/>
          <w:iCs/>
          <w:sz w:val="24"/>
          <w:szCs w:val="24"/>
          <w:lang w:val="es-ES_tradnl" w:eastAsia="es-ES"/>
        </w:rPr>
        <w:t>así como las actas de reuniones oficiales</w:t>
      </w:r>
      <w:r w:rsidRPr="009F6408">
        <w:rPr>
          <w:rFonts w:ascii="Times New Roman" w:eastAsia="Times New Roman" w:hAnsi="Times New Roman" w:cs="Times New Roman"/>
          <w:b/>
          <w:bCs/>
          <w:i/>
          <w:iCs/>
          <w:sz w:val="24"/>
          <w:szCs w:val="24"/>
          <w:lang w:val="es-ES_tradnl" w:eastAsia="es-ES"/>
        </w:rPr>
        <w:t xml:space="preserve">” </w:t>
      </w:r>
      <w:r w:rsidRPr="009F6408">
        <w:rPr>
          <w:rFonts w:ascii="Times New Roman" w:eastAsia="Times New Roman" w:hAnsi="Times New Roman" w:cs="Times New Roman"/>
          <w:i/>
          <w:iCs/>
          <w:sz w:val="24"/>
          <w:szCs w:val="24"/>
          <w:lang w:val="es-ES_tradnl" w:eastAsia="es-ES"/>
        </w:rPr>
        <w:t>(resaltado nuestro)</w:t>
      </w:r>
      <w:r w:rsidRPr="009F6408">
        <w:rPr>
          <w:rFonts w:ascii="Times New Roman" w:eastAsia="Times New Roman" w:hAnsi="Times New Roman" w:cs="Times New Roman"/>
          <w:sz w:val="24"/>
          <w:szCs w:val="24"/>
          <w:lang w:val="es-ES_tradnl" w:eastAsia="es-ES"/>
        </w:rPr>
        <w:t xml:space="preserve">. </w:t>
      </w:r>
    </w:p>
    <w:p w:rsidR="009F6408" w:rsidRPr="009F6408" w:rsidRDefault="009F6408" w:rsidP="009F6408">
      <w:pPr>
        <w:ind w:left="72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numPr>
          <w:ilvl w:val="0"/>
          <w:numId w:val="6"/>
        </w:numPr>
        <w:rPr>
          <w:rFonts w:ascii="Times New Roman" w:eastAsia="Times New Roman" w:hAnsi="Times New Roman" w:cs="Times New Roman"/>
          <w:sz w:val="24"/>
          <w:szCs w:val="24"/>
          <w:lang w:eastAsia="es-ES"/>
        </w:rPr>
      </w:pPr>
      <w:r w:rsidRPr="009F6408">
        <w:rPr>
          <w:rFonts w:ascii="Times New Roman" w:eastAsia="Times New Roman" w:hAnsi="Times New Roman" w:cs="Times New Roman"/>
          <w:sz w:val="24"/>
          <w:szCs w:val="24"/>
          <w:lang w:val="es-ES" w:eastAsia="es-ES"/>
        </w:rPr>
        <w:t xml:space="preserve">Sobre el particular, considero oportuno traer a colación lo resuelto en la STC Nº 2579-2003-HD/TC, en el sentido que </w:t>
      </w:r>
      <w:r w:rsidRPr="009F6408">
        <w:rPr>
          <w:rFonts w:ascii="Times New Roman" w:eastAsia="Times New Roman" w:hAnsi="Times New Roman" w:cs="Times New Roman"/>
          <w:i/>
          <w:iCs/>
          <w:sz w:val="24"/>
          <w:szCs w:val="24"/>
          <w:lang w:val="es-ES" w:eastAsia="es-ES"/>
        </w:rPr>
        <w:t>“(l)</w:t>
      </w:r>
      <w:r w:rsidRPr="009F6408">
        <w:rPr>
          <w:rFonts w:ascii="Times New Roman" w:eastAsia="Times New Roman" w:hAnsi="Times New Roman" w:cs="Times New Roman"/>
          <w:i/>
          <w:iCs/>
          <w:color w:val="292526"/>
          <w:sz w:val="24"/>
          <w:szCs w:val="24"/>
          <w:lang w:val="es-ES_tradnl" w:eastAsia="es-ES"/>
        </w:rPr>
        <w:t>o realmente trascendental, a efectos de que pueda considerarse como «información pública», no es su financiación, sino la posesión y el uso que le imponen los órganos públicos en la adopción de</w:t>
      </w:r>
      <w:r w:rsidRPr="009F6408">
        <w:rPr>
          <w:rFonts w:ascii="Times New Roman" w:eastAsia="Times New Roman" w:hAnsi="Times New Roman" w:cs="Times New Roman"/>
          <w:b/>
          <w:bCs/>
          <w:i/>
          <w:iCs/>
          <w:color w:val="292526"/>
          <w:sz w:val="24"/>
          <w:szCs w:val="24"/>
          <w:lang w:val="es-ES_tradnl" w:eastAsia="es-ES"/>
        </w:rPr>
        <w:t xml:space="preserve"> decisiones administrativas,</w:t>
      </w:r>
      <w:r w:rsidRPr="009F6408">
        <w:rPr>
          <w:rFonts w:ascii="Times New Roman" w:eastAsia="Times New Roman" w:hAnsi="Times New Roman" w:cs="Times New Roman"/>
          <w:i/>
          <w:iCs/>
          <w:color w:val="292526"/>
          <w:sz w:val="24"/>
          <w:szCs w:val="24"/>
          <w:lang w:val="es-ES_tradnl" w:eastAsia="es-ES"/>
        </w:rPr>
        <w:t xml:space="preserve"> salvo, claro está, que la información haya sido declarada por ley como sujeta a reserva» (resaltado nuestro).</w:t>
      </w:r>
      <w:r w:rsidRPr="009F6408">
        <w:rPr>
          <w:rFonts w:ascii="Times New Roman" w:eastAsiaTheme="minorEastAsia" w:hAnsi="Times New Roman" w:cs="Times New Roman"/>
          <w:sz w:val="24"/>
          <w:szCs w:val="24"/>
          <w:lang w:eastAsia="es-ES"/>
        </w:rPr>
        <w:t xml:space="preserve"> </w:t>
      </w:r>
    </w:p>
    <w:p w:rsidR="009F6408" w:rsidRPr="009F6408" w:rsidRDefault="009F6408" w:rsidP="009F6408">
      <w:pPr>
        <w:ind w:left="72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numPr>
          <w:ilvl w:val="0"/>
          <w:numId w:val="7"/>
        </w:numPr>
        <w:rPr>
          <w:rFonts w:ascii="Times New Roman" w:eastAsia="Times New Roman" w:hAnsi="Times New Roman" w:cs="Times New Roman"/>
          <w:sz w:val="24"/>
          <w:szCs w:val="24"/>
          <w:lang w:eastAsia="es-ES"/>
        </w:rPr>
      </w:pPr>
      <w:r w:rsidRPr="009F6408">
        <w:rPr>
          <w:rFonts w:ascii="Times New Roman" w:eastAsia="Times New Roman" w:hAnsi="Times New Roman" w:cs="Times New Roman"/>
          <w:sz w:val="24"/>
          <w:szCs w:val="24"/>
          <w:lang w:val="es-ES_tradnl" w:eastAsia="es-ES"/>
        </w:rPr>
        <w:t>Ahora bien, una vez delimitado el marco normativo que corresponde analizar, en primer lugar, si la información solicitada constituye:</w:t>
      </w:r>
      <w:r w:rsidRPr="009F6408">
        <w:rPr>
          <w:rFonts w:ascii="Times New Roman" w:eastAsiaTheme="minorEastAsia" w:hAnsi="Times New Roman" w:cs="Times New Roman"/>
          <w:sz w:val="24"/>
          <w:szCs w:val="24"/>
          <w:lang w:eastAsia="es-ES"/>
        </w:rPr>
        <w:t xml:space="preserve"> </w:t>
      </w:r>
    </w:p>
    <w:p w:rsidR="009F6408" w:rsidRPr="009F6408" w:rsidRDefault="009F6408" w:rsidP="009F6408">
      <w:pPr>
        <w:spacing w:after="200" w:line="276" w:lineRule="auto"/>
        <w:ind w:left="720" w:firstLine="0"/>
        <w:jc w:val="left"/>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 </w:t>
      </w:r>
    </w:p>
    <w:p w:rsidR="009F6408" w:rsidRPr="009F6408" w:rsidRDefault="009F6408" w:rsidP="009F6408">
      <w:pPr>
        <w:ind w:left="1500" w:hanging="360"/>
        <w:rPr>
          <w:rFonts w:ascii="Calibri" w:eastAsiaTheme="minorEastAsia" w:hAnsi="Calibri" w:cs="Times New Roman"/>
          <w:lang w:eastAsia="es-ES"/>
        </w:rPr>
      </w:pPr>
      <w:r w:rsidRPr="009F6408">
        <w:rPr>
          <w:rFonts w:ascii="Wingdings" w:eastAsiaTheme="minorEastAsia" w:hAnsi="Wingdings" w:cs="Times New Roman"/>
          <w:sz w:val="24"/>
          <w:szCs w:val="24"/>
          <w:lang w:val="es-ES" w:eastAsia="es-ES"/>
        </w:rPr>
        <w:t></w:t>
      </w:r>
      <w:r w:rsidRPr="009F6408">
        <w:rPr>
          <w:rFonts w:ascii="Times New Roman" w:eastAsiaTheme="minorEastAsia" w:hAnsi="Times New Roman" w:cs="Times New Roman"/>
          <w:sz w:val="14"/>
          <w:szCs w:val="14"/>
          <w:lang w:val="es-ES" w:eastAsia="es-ES"/>
        </w:rPr>
        <w:t xml:space="preserve"> </w:t>
      </w:r>
      <w:r w:rsidRPr="009F6408">
        <w:rPr>
          <w:rFonts w:ascii="Times New Roman" w:eastAsiaTheme="minorEastAsia" w:hAnsi="Times New Roman" w:cs="Times New Roman"/>
          <w:i/>
          <w:iCs/>
          <w:sz w:val="24"/>
          <w:szCs w:val="24"/>
          <w:lang w:eastAsia="es-ES"/>
        </w:rPr>
        <w:t xml:space="preserve">“Información pública”, </w:t>
      </w:r>
      <w:r w:rsidRPr="009F6408">
        <w:rPr>
          <w:rFonts w:ascii="Times New Roman" w:eastAsiaTheme="minorEastAsia" w:hAnsi="Times New Roman" w:cs="Times New Roman"/>
          <w:sz w:val="24"/>
          <w:szCs w:val="24"/>
          <w:lang w:eastAsia="es-ES"/>
        </w:rPr>
        <w:t xml:space="preserve">en cuyo caso </w:t>
      </w:r>
      <w:r w:rsidRPr="009F6408">
        <w:rPr>
          <w:rFonts w:ascii="Times New Roman" w:eastAsiaTheme="minorEastAsia" w:hAnsi="Times New Roman" w:cs="Times New Roman"/>
          <w:color w:val="000000"/>
          <w:sz w:val="24"/>
          <w:szCs w:val="24"/>
          <w:lang w:eastAsia="es-ES"/>
        </w:rPr>
        <w:t xml:space="preserve">la demandante no tiene por qué expresar o fundamentar para qué requiere tal información. </w:t>
      </w:r>
      <w:r w:rsidRPr="009F6408">
        <w:rPr>
          <w:rFonts w:ascii="Times New Roman" w:eastAsiaTheme="minorEastAsia" w:hAnsi="Times New Roman" w:cs="Times New Roman"/>
          <w:sz w:val="24"/>
          <w:szCs w:val="24"/>
          <w:lang w:val="es-ES" w:eastAsia="es-ES"/>
        </w:rPr>
        <w:t xml:space="preserve">De ahí que, a no ser que </w:t>
      </w:r>
      <w:r w:rsidRPr="009F6408">
        <w:rPr>
          <w:rFonts w:ascii="Times New Roman" w:eastAsiaTheme="minorEastAsia" w:hAnsi="Times New Roman" w:cs="Times New Roman"/>
          <w:sz w:val="24"/>
          <w:szCs w:val="24"/>
          <w:lang w:eastAsia="es-ES"/>
        </w:rPr>
        <w:t>exista alguna restricción constitucionalmente válida que justifique que dicha información no le sea proporcionada, su solicitud debe ser atendida.</w:t>
      </w:r>
    </w:p>
    <w:p w:rsidR="009F6408" w:rsidRPr="009F6408" w:rsidRDefault="009F6408" w:rsidP="009F6408">
      <w:pPr>
        <w:ind w:left="1500" w:firstLine="0"/>
        <w:rPr>
          <w:rFonts w:ascii="Calibri" w:eastAsiaTheme="minorEastAsia" w:hAnsi="Calibri" w:cs="Times New Roman"/>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1500" w:hanging="360"/>
        <w:rPr>
          <w:rFonts w:ascii="Calibri" w:eastAsiaTheme="minorEastAsia" w:hAnsi="Calibri" w:cs="Times New Roman"/>
          <w:lang w:eastAsia="es-ES"/>
        </w:rPr>
      </w:pPr>
      <w:r w:rsidRPr="009F6408">
        <w:rPr>
          <w:rFonts w:ascii="Wingdings" w:eastAsiaTheme="minorEastAsia" w:hAnsi="Wingdings" w:cs="Times New Roman"/>
          <w:sz w:val="24"/>
          <w:szCs w:val="24"/>
          <w:lang w:val="es-ES" w:eastAsia="es-ES"/>
        </w:rPr>
        <w:t></w:t>
      </w:r>
      <w:r w:rsidRPr="009F6408">
        <w:rPr>
          <w:rFonts w:ascii="Times New Roman" w:eastAsiaTheme="minorEastAsia" w:hAnsi="Times New Roman" w:cs="Times New Roman"/>
          <w:sz w:val="14"/>
          <w:szCs w:val="14"/>
          <w:lang w:val="es-ES" w:eastAsia="es-ES"/>
        </w:rPr>
        <w:t xml:space="preserve"> </w:t>
      </w:r>
      <w:r w:rsidRPr="009F6408">
        <w:rPr>
          <w:rFonts w:ascii="Times New Roman" w:eastAsiaTheme="minorEastAsia" w:hAnsi="Times New Roman" w:cs="Times New Roman"/>
          <w:sz w:val="24"/>
          <w:szCs w:val="24"/>
          <w:lang w:val="es-ES" w:eastAsia="es-ES"/>
        </w:rPr>
        <w:t xml:space="preserve">En caso contrario, y en estricta aplicación del </w:t>
      </w:r>
      <w:r w:rsidRPr="009F6408">
        <w:rPr>
          <w:rFonts w:ascii="Times New Roman" w:eastAsiaTheme="minorEastAsia" w:hAnsi="Times New Roman" w:cs="Times New Roman"/>
          <w:i/>
          <w:iCs/>
          <w:color w:val="000000"/>
          <w:sz w:val="24"/>
          <w:szCs w:val="24"/>
          <w:lang w:eastAsia="es-ES"/>
        </w:rPr>
        <w:t>“principio de máxima divulgación”,</w:t>
      </w:r>
      <w:r w:rsidRPr="009F6408">
        <w:rPr>
          <w:rFonts w:ascii="Verdana" w:eastAsiaTheme="minorEastAsia" w:hAnsi="Verdana" w:cs="Times New Roman"/>
          <w:sz w:val="20"/>
          <w:szCs w:val="20"/>
          <w:lang w:eastAsia="es-ES"/>
        </w:rPr>
        <w:t xml:space="preserve"> </w:t>
      </w:r>
      <w:r w:rsidRPr="009F6408">
        <w:rPr>
          <w:rFonts w:ascii="Times New Roman" w:eastAsiaTheme="minorEastAsia" w:hAnsi="Times New Roman" w:cs="Times New Roman"/>
          <w:sz w:val="24"/>
          <w:szCs w:val="24"/>
          <w:lang w:val="es-ES_tradnl" w:eastAsia="es-ES"/>
        </w:rPr>
        <w:t xml:space="preserve">que tal como ha sido desarrollado por el Corte Interamericana de Derechos Humanos, </w:t>
      </w:r>
      <w:r w:rsidRPr="009F6408">
        <w:rPr>
          <w:rFonts w:ascii="Times New Roman" w:eastAsiaTheme="minorEastAsia" w:hAnsi="Times New Roman" w:cs="Times New Roman"/>
          <w:i/>
          <w:iCs/>
          <w:sz w:val="24"/>
          <w:szCs w:val="24"/>
          <w:lang w:val="es-ES_tradnl" w:eastAsia="es-ES"/>
        </w:rPr>
        <w:t>“establece la presunción de que toda información es accesible, sujeto a un sistema restringido de excepciones.”</w:t>
      </w:r>
      <w:r w:rsidRPr="009F6408">
        <w:rPr>
          <w:rFonts w:ascii="Times New Roman" w:eastAsiaTheme="minorEastAsia" w:hAnsi="Times New Roman" w:cs="Times New Roman"/>
          <w:sz w:val="24"/>
          <w:szCs w:val="24"/>
          <w:lang w:val="es-ES_tradnl" w:eastAsia="es-ES"/>
        </w:rPr>
        <w:t xml:space="preserve">, </w:t>
      </w:r>
      <w:r w:rsidRPr="009F6408">
        <w:rPr>
          <w:rFonts w:ascii="Times New Roman" w:eastAsiaTheme="minorEastAsia" w:hAnsi="Times New Roman" w:cs="Times New Roman"/>
          <w:i/>
          <w:iCs/>
          <w:sz w:val="24"/>
          <w:szCs w:val="24"/>
          <w:lang w:val="es-ES_tradnl" w:eastAsia="es-ES"/>
        </w:rPr>
        <w:t>(</w:t>
      </w:r>
      <w:r w:rsidRPr="009F6408">
        <w:rPr>
          <w:rFonts w:ascii="Times New Roman" w:eastAsiaTheme="minorEastAsia" w:hAnsi="Times New Roman" w:cs="Times New Roman"/>
          <w:sz w:val="24"/>
          <w:szCs w:val="24"/>
          <w:lang w:val="es-ES_tradnl" w:eastAsia="es-ES"/>
        </w:rPr>
        <w:t>“</w:t>
      </w:r>
      <w:r w:rsidRPr="009F6408">
        <w:rPr>
          <w:rFonts w:ascii="Times New Roman" w:eastAsiaTheme="minorEastAsia" w:hAnsi="Times New Roman" w:cs="Times New Roman"/>
          <w:i/>
          <w:iCs/>
          <w:sz w:val="24"/>
          <w:szCs w:val="24"/>
          <w:lang w:val="es-ES_tradnl" w:eastAsia="es-ES"/>
        </w:rPr>
        <w:t>Caso Claude Reyes y otros vs. Chile”,</w:t>
      </w:r>
      <w:r w:rsidRPr="009F6408">
        <w:rPr>
          <w:rFonts w:ascii="Times New Roman" w:eastAsiaTheme="minorEastAsia" w:hAnsi="Times New Roman" w:cs="Times New Roman"/>
          <w:sz w:val="24"/>
          <w:szCs w:val="24"/>
          <w:lang w:val="es-ES_tradnl" w:eastAsia="es-ES"/>
        </w:rPr>
        <w:t xml:space="preserve"> </w:t>
      </w:r>
      <w:r w:rsidRPr="009F6408">
        <w:rPr>
          <w:rFonts w:ascii="Times New Roman" w:eastAsiaTheme="minorEastAsia" w:hAnsi="Times New Roman" w:cs="Times New Roman"/>
          <w:i/>
          <w:iCs/>
          <w:sz w:val="24"/>
          <w:szCs w:val="24"/>
          <w:lang w:val="es-ES_tradnl" w:eastAsia="es-ES"/>
        </w:rPr>
        <w:t>entre otros),</w:t>
      </w:r>
      <w:r w:rsidRPr="009F6408">
        <w:rPr>
          <w:rFonts w:ascii="Times New Roman" w:eastAsiaTheme="minorEastAsia" w:hAnsi="Times New Roman" w:cs="Times New Roman"/>
          <w:sz w:val="24"/>
          <w:szCs w:val="24"/>
          <w:lang w:val="es-ES_tradnl" w:eastAsia="es-ES"/>
        </w:rPr>
        <w:t xml:space="preserve"> aún cuando dicha información no califique pública, ésta deberá ser brindada a quien la solicite, siempre que justifique las razones por las cuáles su pedido deba ser atendido. Y es que, tal como ha sido desarrollado en la STC Nº 2579-2003-HD/TC, </w:t>
      </w:r>
      <w:r w:rsidRPr="009F6408">
        <w:rPr>
          <w:rFonts w:ascii="Times New Roman" w:eastAsiaTheme="minorEastAsia" w:hAnsi="Times New Roman" w:cs="Times New Roman"/>
          <w:i/>
          <w:iCs/>
          <w:sz w:val="24"/>
          <w:szCs w:val="24"/>
          <w:lang w:val="es-ES_tradnl" w:eastAsia="es-ES"/>
        </w:rPr>
        <w:t>“la publicidad en la actuación de los poderes públicos constituye la regla general, y el secreto, cuando cuente con cobertura constitucional, la excepción”.</w:t>
      </w:r>
    </w:p>
    <w:p w:rsidR="009F6408" w:rsidRPr="009F6408" w:rsidRDefault="009F6408" w:rsidP="009F6408">
      <w:pPr>
        <w:spacing w:after="200" w:line="276" w:lineRule="auto"/>
        <w:ind w:left="720" w:firstLine="0"/>
        <w:jc w:val="left"/>
        <w:rPr>
          <w:rFonts w:ascii="Calibri" w:eastAsiaTheme="minorEastAsia" w:hAnsi="Calibri" w:cs="Times New Roman"/>
          <w:lang w:eastAsia="es-ES"/>
        </w:rPr>
      </w:pPr>
      <w:r w:rsidRPr="009F6408">
        <w:rPr>
          <w:rFonts w:ascii="Times New Roman" w:eastAsiaTheme="minorEastAsia" w:hAnsi="Times New Roman" w:cs="Times New Roman"/>
          <w:sz w:val="24"/>
          <w:szCs w:val="24"/>
          <w:lang w:val="es-ES_tradnl" w:eastAsia="es-ES"/>
        </w:rPr>
        <w:t> </w:t>
      </w:r>
    </w:p>
    <w:p w:rsidR="009F6408" w:rsidRPr="009F6408" w:rsidRDefault="009F6408" w:rsidP="009F6408">
      <w:pPr>
        <w:ind w:left="1500" w:firstLine="0"/>
        <w:rPr>
          <w:rFonts w:ascii="Calibri" w:eastAsiaTheme="minorEastAsia" w:hAnsi="Calibri" w:cs="Times New Roman"/>
          <w:lang w:eastAsia="es-ES"/>
        </w:rPr>
      </w:pPr>
      <w:r w:rsidRPr="009F6408">
        <w:rPr>
          <w:rFonts w:ascii="Times New Roman" w:eastAsiaTheme="minorEastAsia" w:hAnsi="Times New Roman" w:cs="Times New Roman"/>
          <w:sz w:val="24"/>
          <w:szCs w:val="24"/>
          <w:lang w:val="es-ES_tradnl" w:eastAsia="es-ES"/>
        </w:rPr>
        <w:t xml:space="preserve">De ahí que, si luego de ponderarse los bienes constitucionales comprometidos, la entidad que posee dicha información entiende </w:t>
      </w:r>
      <w:r w:rsidRPr="009F6408">
        <w:rPr>
          <w:rFonts w:ascii="Times New Roman" w:eastAsiaTheme="minorEastAsia" w:hAnsi="Times New Roman" w:cs="Times New Roman"/>
          <w:sz w:val="24"/>
          <w:szCs w:val="24"/>
          <w:lang w:val="es-ES_tradnl" w:eastAsia="es-ES"/>
        </w:rPr>
        <w:lastRenderedPageBreak/>
        <w:t>que lo solicitado no resulta atendible por menoscabar ilegítimamente cualquier otro bien jurídico, debió motivarlo adecuadamente.</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val="es-ES" w:eastAsia="es-ES"/>
        </w:rPr>
        <w:t>§</w:t>
      </w:r>
      <w:r w:rsidRPr="009F6408">
        <w:rPr>
          <w:rFonts w:ascii="Times New Roman" w:eastAsiaTheme="minorEastAsia" w:hAnsi="Times New Roman" w:cs="Times New Roman"/>
          <w:sz w:val="14"/>
          <w:szCs w:val="14"/>
          <w:lang w:val="es-ES" w:eastAsia="es-ES"/>
        </w:rPr>
        <w:t xml:space="preserve">        </w:t>
      </w:r>
      <w:r w:rsidRPr="009F6408">
        <w:rPr>
          <w:rFonts w:ascii="Times New Roman" w:eastAsiaTheme="minorEastAsia" w:hAnsi="Times New Roman" w:cs="Times New Roman"/>
          <w:b/>
          <w:bCs/>
          <w:sz w:val="24"/>
          <w:szCs w:val="24"/>
          <w:lang w:val="es-ES" w:eastAsia="es-ES"/>
        </w:rPr>
        <w:t>Análisis del caso en concreto</w:t>
      </w: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sz w:val="24"/>
          <w:szCs w:val="24"/>
          <w:lang w:val="es-ES" w:eastAsia="es-ES"/>
        </w:rPr>
        <w:t> </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8.</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sz w:val="24"/>
          <w:szCs w:val="24"/>
          <w:lang w:eastAsia="es-ES"/>
        </w:rPr>
        <w:t xml:space="preserve">En primer lugar cabe advertir que, así el artículo I del Título Preliminar de la Ley Nº 27444, Ley del Procedimiento Administrativo General, incluya al Ministerio Público como parte de la Administración Pública, no puede entenderse que, en todas sus actuaciones, el citado poder del Estado ejerce </w:t>
      </w:r>
      <w:r w:rsidRPr="009F6408">
        <w:rPr>
          <w:rFonts w:ascii="Times New Roman" w:eastAsiaTheme="minorEastAsia" w:hAnsi="Times New Roman" w:cs="Times New Roman"/>
          <w:b/>
          <w:bCs/>
          <w:i/>
          <w:iCs/>
          <w:sz w:val="24"/>
          <w:szCs w:val="24"/>
          <w:lang w:eastAsia="es-ES"/>
        </w:rPr>
        <w:t>“funciones administrativas”.</w:t>
      </w:r>
      <w:r w:rsidRPr="009F6408">
        <w:rPr>
          <w:rFonts w:ascii="Times New Roman" w:eastAsiaTheme="minorEastAsia" w:hAnsi="Times New Roman" w:cs="Times New Roman"/>
          <w:i/>
          <w:iCs/>
          <w:sz w:val="24"/>
          <w:szCs w:val="24"/>
          <w:lang w:eastAsia="es-ES"/>
        </w:rPr>
        <w:t xml:space="preserve"> </w:t>
      </w:r>
    </w:p>
    <w:p w:rsidR="009F6408" w:rsidRPr="009F6408" w:rsidRDefault="009F6408" w:rsidP="009F6408">
      <w:pPr>
        <w:spacing w:after="200" w:line="276" w:lineRule="auto"/>
        <w:ind w:left="720" w:firstLine="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 xml:space="preserve">En efecto, si bien el Ministerio Público tiene como función propia ejercer la </w:t>
      </w:r>
      <w:r w:rsidRPr="009F6408">
        <w:rPr>
          <w:rFonts w:ascii="Times New Roman" w:eastAsiaTheme="minorEastAsia" w:hAnsi="Times New Roman" w:cs="Times New Roman"/>
          <w:i/>
          <w:iCs/>
          <w:sz w:val="24"/>
          <w:szCs w:val="24"/>
          <w:lang w:eastAsia="es-ES"/>
        </w:rPr>
        <w:t>“titularidad de la acción”</w:t>
      </w:r>
      <w:r w:rsidRPr="009F6408">
        <w:rPr>
          <w:rFonts w:ascii="Times New Roman" w:eastAsiaTheme="minorEastAsia" w:hAnsi="Times New Roman" w:cs="Times New Roman"/>
          <w:sz w:val="24"/>
          <w:szCs w:val="24"/>
          <w:lang w:eastAsia="es-ES"/>
        </w:rPr>
        <w:t xml:space="preserve">, no cabe duda que, a través de la Junta de Fiscales Supremos, Superiores, y Provinciales, el Instituto de Medicina Legal, y Registro Nacional de Detenidos y Sentenciados a Pena Privativa de Libertad Efectiva (RENADESPPLE), realizan una innegable </w:t>
      </w:r>
      <w:r w:rsidRPr="009F6408">
        <w:rPr>
          <w:rFonts w:ascii="Times New Roman" w:eastAsiaTheme="minorEastAsia" w:hAnsi="Times New Roman" w:cs="Times New Roman"/>
          <w:b/>
          <w:bCs/>
          <w:i/>
          <w:iCs/>
          <w:sz w:val="24"/>
          <w:szCs w:val="24"/>
          <w:lang w:eastAsia="es-ES"/>
        </w:rPr>
        <w:t>“función administrativa”</w:t>
      </w:r>
      <w:r w:rsidRPr="009F6408">
        <w:rPr>
          <w:rFonts w:ascii="Times New Roman" w:eastAsiaTheme="minorEastAsia" w:hAnsi="Times New Roman" w:cs="Times New Roman"/>
          <w:i/>
          <w:iCs/>
          <w:sz w:val="24"/>
          <w:szCs w:val="24"/>
          <w:lang w:eastAsia="es-ES"/>
        </w:rPr>
        <w:t xml:space="preserve"> </w:t>
      </w:r>
      <w:r w:rsidRPr="009F6408">
        <w:rPr>
          <w:rFonts w:ascii="Times New Roman" w:eastAsiaTheme="minorEastAsia" w:hAnsi="Times New Roman" w:cs="Times New Roman"/>
          <w:sz w:val="24"/>
          <w:szCs w:val="24"/>
          <w:lang w:eastAsia="es-ES"/>
        </w:rPr>
        <w:t xml:space="preserve">conforme a lo indicado en su propia Ley Orgánica y demás normas. </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9.</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color w:val="000000"/>
          <w:sz w:val="24"/>
          <w:szCs w:val="24"/>
          <w:lang w:eastAsia="es-ES"/>
        </w:rPr>
        <w:t xml:space="preserve">En ese orden de ideas, estimo que la información solicitada </w:t>
      </w:r>
      <w:r w:rsidRPr="009F6408">
        <w:rPr>
          <w:rFonts w:ascii="Times New Roman" w:eastAsiaTheme="minorEastAsia" w:hAnsi="Times New Roman" w:cs="Times New Roman"/>
          <w:i/>
          <w:iCs/>
          <w:color w:val="000000"/>
          <w:sz w:val="24"/>
          <w:szCs w:val="24"/>
          <w:lang w:eastAsia="es-ES"/>
        </w:rPr>
        <w:t>no es de carácter administrativo,</w:t>
      </w:r>
      <w:r w:rsidRPr="009F6408">
        <w:rPr>
          <w:rFonts w:ascii="Times New Roman" w:eastAsiaTheme="minorEastAsia" w:hAnsi="Times New Roman" w:cs="Times New Roman"/>
          <w:color w:val="000000"/>
          <w:sz w:val="24"/>
          <w:szCs w:val="24"/>
          <w:lang w:eastAsia="es-ES"/>
        </w:rPr>
        <w:t xml:space="preserve"> pues </w:t>
      </w:r>
      <w:r w:rsidRPr="009F6408">
        <w:rPr>
          <w:rFonts w:ascii="Times New Roman" w:eastAsiaTheme="minorEastAsia" w:hAnsi="Times New Roman" w:cs="Times New Roman"/>
          <w:sz w:val="24"/>
          <w:szCs w:val="24"/>
          <w:lang w:eastAsia="es-ES"/>
        </w:rPr>
        <w:t xml:space="preserve">conforme se desprende del tenor de la documentación obrante en autos, lo requerido constituyen piezas procedimentales de </w:t>
      </w:r>
      <w:r w:rsidRPr="009F6408">
        <w:rPr>
          <w:rFonts w:ascii="Times New Roman" w:eastAsiaTheme="minorEastAsia" w:hAnsi="Times New Roman" w:cs="Times New Roman"/>
          <w:i/>
          <w:iCs/>
          <w:sz w:val="24"/>
          <w:szCs w:val="24"/>
          <w:lang w:eastAsia="es-ES"/>
        </w:rPr>
        <w:t>carácter prejurisdiccional</w:t>
      </w:r>
      <w:r w:rsidRPr="009F6408">
        <w:rPr>
          <w:rFonts w:ascii="Times New Roman" w:eastAsiaTheme="minorEastAsia" w:hAnsi="Times New Roman" w:cs="Times New Roman"/>
          <w:sz w:val="24"/>
          <w:szCs w:val="24"/>
          <w:lang w:eastAsia="es-ES"/>
        </w:rPr>
        <w:t xml:space="preserve"> obtenidas en el marco de la investigación preliminar abierta con ocasión de la denuncia penal presentada por la recurrente contra la Juez Superior Aranda Rodríguez, por la presunta comisión de los delitos de “</w:t>
      </w:r>
      <w:r w:rsidRPr="009F6408">
        <w:rPr>
          <w:rFonts w:ascii="Times New Roman" w:eastAsiaTheme="minorEastAsia" w:hAnsi="Times New Roman" w:cs="Times New Roman"/>
          <w:i/>
          <w:iCs/>
          <w:sz w:val="24"/>
          <w:szCs w:val="24"/>
          <w:lang w:eastAsia="es-ES"/>
        </w:rPr>
        <w:t>abuso de autoridad”, “retardo en la administración de justicia”, “omisión de denuncia”</w:t>
      </w:r>
      <w:r w:rsidRPr="009F6408">
        <w:rPr>
          <w:rFonts w:ascii="Times New Roman" w:eastAsiaTheme="minorEastAsia" w:hAnsi="Times New Roman" w:cs="Times New Roman"/>
          <w:sz w:val="24"/>
          <w:szCs w:val="24"/>
          <w:lang w:eastAsia="es-ES"/>
        </w:rPr>
        <w:t xml:space="preserve"> y </w:t>
      </w:r>
      <w:r w:rsidRPr="009F6408">
        <w:rPr>
          <w:rFonts w:ascii="Times New Roman" w:eastAsiaTheme="minorEastAsia" w:hAnsi="Times New Roman" w:cs="Times New Roman"/>
          <w:i/>
          <w:iCs/>
          <w:sz w:val="24"/>
          <w:szCs w:val="24"/>
          <w:lang w:eastAsia="es-ES"/>
        </w:rPr>
        <w:t xml:space="preserve">“prevaricato”, </w:t>
      </w:r>
      <w:r w:rsidRPr="009F6408">
        <w:rPr>
          <w:rFonts w:ascii="Times New Roman" w:eastAsiaTheme="minorEastAsia" w:hAnsi="Times New Roman" w:cs="Times New Roman"/>
          <w:sz w:val="24"/>
          <w:szCs w:val="24"/>
          <w:lang w:eastAsia="es-ES"/>
        </w:rPr>
        <w:t xml:space="preserve">conforme se advierte de la Resolución de fecha 9 de julio de 2008 obrante a fojas 31, que desestimó dichas imputaciones aunque remitió los actuados ante la Oficina de Control de la Magistratura (OCMA) a fin de que se evalúe la eventual comisión de infracción administrativa alguna, la que fue impugnada (a fojas 37 obra el recurso respectivo y a fojas 40 corre en autos el concesorio de apelación). </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10.</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sz w:val="24"/>
          <w:szCs w:val="24"/>
          <w:lang w:eastAsia="es-ES"/>
        </w:rPr>
        <w:t xml:space="preserve">Al respecto, conviene precisar que según el numeral 4 del artículo 66º de la Ley Orgánica del Ministerio Público, </w:t>
      </w:r>
      <w:r w:rsidRPr="009F6408">
        <w:rPr>
          <w:rFonts w:ascii="Times New Roman" w:eastAsiaTheme="minorEastAsia" w:hAnsi="Times New Roman" w:cs="Times New Roman"/>
          <w:i/>
          <w:iCs/>
          <w:sz w:val="24"/>
          <w:szCs w:val="24"/>
          <w:lang w:eastAsia="es-ES"/>
        </w:rPr>
        <w:t xml:space="preserve">“(d)ecidir el ejercicio de la acción penal contra los jueces de segunda y primera instancia por delitos cometidos en su actuación judicial cuando media denuncia o queja del Ministro de Justicia, de una Junta de Fiscales o del agraviado. Si la </w:t>
      </w:r>
      <w:r w:rsidRPr="009F6408">
        <w:rPr>
          <w:rFonts w:ascii="Times New Roman" w:eastAsiaTheme="minorEastAsia" w:hAnsi="Times New Roman" w:cs="Times New Roman"/>
          <w:i/>
          <w:iCs/>
          <w:sz w:val="24"/>
          <w:szCs w:val="24"/>
          <w:lang w:eastAsia="es-ES"/>
        </w:rPr>
        <w:lastRenderedPageBreak/>
        <w:t>denuncia la formulase el Presidente de la Corte Suprema, la acción será ejercitada sin más trámites. En estos casos, el Fiscal de la Nación instruirá al Fiscal que corresponda para que la ejercite. Si, en su caso, los actos u omisiones denunciados sólo dieren lugar a la aplicación de medidas disciplinarias, remitirá lo actuado al Presidente de la Corte Suprema de Justicia”,</w:t>
      </w:r>
      <w:r w:rsidRPr="009F6408">
        <w:rPr>
          <w:rFonts w:ascii="Times New Roman" w:eastAsiaTheme="minorEastAsia" w:hAnsi="Times New Roman" w:cs="Times New Roman"/>
          <w:sz w:val="24"/>
          <w:szCs w:val="24"/>
          <w:lang w:eastAsia="es-ES"/>
        </w:rPr>
        <w:t xml:space="preserve"> es una atribución del Fiscal de la Nación. </w:t>
      </w:r>
    </w:p>
    <w:p w:rsidR="009F6408" w:rsidRPr="009F6408" w:rsidRDefault="009F6408" w:rsidP="009F6408">
      <w:pPr>
        <w:spacing w:after="200" w:line="276" w:lineRule="auto"/>
        <w:ind w:left="720" w:firstLine="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 xml:space="preserve">En esa línea, el artículo 58º del Reglamento de Organización y Funciones de la Fiscalía Suprema de Control Interno del Ministerio Público, dispone que </w:t>
      </w:r>
      <w:r w:rsidRPr="009F6408">
        <w:rPr>
          <w:rFonts w:ascii="Times New Roman" w:eastAsiaTheme="minorEastAsia" w:hAnsi="Times New Roman" w:cs="Times New Roman"/>
          <w:i/>
          <w:iCs/>
          <w:sz w:val="24"/>
          <w:szCs w:val="24"/>
          <w:lang w:eastAsia="es-ES"/>
        </w:rPr>
        <w:t>“(c)orresponde al Fiscal Supremo de Control Interno y a los Fiscales Superiores Jefes de las Oficinas Desconcentradas de Control Interno, de oficio o por denuncia de parte, la investigación de los delitos cometidos en el ejercicio de la función por los magistrados del Poder Judicial y del Ministerio Público, con excepción de los magistrados supremos y actuarán haciendo uso de las atribuciones y facultades que les confieren la Ley Orgánica del Ministerio Público, el Código Penal y el Código Procesal Penal”.</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11.</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color w:val="000000"/>
          <w:sz w:val="24"/>
          <w:szCs w:val="24"/>
          <w:lang w:eastAsia="es-ES"/>
        </w:rPr>
        <w:t xml:space="preserve">Por consiguiente, si bien la información solicitada no reviste el carácter de </w:t>
      </w:r>
      <w:r w:rsidRPr="009F6408">
        <w:rPr>
          <w:rFonts w:ascii="Times New Roman" w:eastAsiaTheme="minorEastAsia" w:hAnsi="Times New Roman" w:cs="Times New Roman"/>
          <w:i/>
          <w:iCs/>
          <w:color w:val="000000"/>
          <w:sz w:val="24"/>
          <w:szCs w:val="24"/>
          <w:lang w:eastAsia="es-ES"/>
        </w:rPr>
        <w:t>“información pública”</w:t>
      </w:r>
      <w:r w:rsidRPr="009F6408">
        <w:rPr>
          <w:rFonts w:ascii="Times New Roman" w:eastAsiaTheme="minorEastAsia" w:hAnsi="Times New Roman" w:cs="Times New Roman"/>
          <w:color w:val="000000"/>
          <w:sz w:val="24"/>
          <w:szCs w:val="24"/>
          <w:lang w:eastAsia="es-ES"/>
        </w:rPr>
        <w:t xml:space="preserve"> en los términos de la </w:t>
      </w:r>
      <w:r w:rsidRPr="009F6408">
        <w:rPr>
          <w:rFonts w:ascii="Times New Roman" w:eastAsiaTheme="minorEastAsia" w:hAnsi="Times New Roman" w:cs="Times New Roman"/>
          <w:sz w:val="24"/>
          <w:szCs w:val="24"/>
          <w:lang w:eastAsia="es-ES"/>
        </w:rPr>
        <w:t>Ley Nº 27806, Ley de Transparencia y Acceso a la Información Pública</w:t>
      </w:r>
      <w:r w:rsidRPr="009F6408">
        <w:rPr>
          <w:rFonts w:ascii="Times New Roman" w:eastAsiaTheme="minorEastAsia" w:hAnsi="Times New Roman" w:cs="Times New Roman"/>
          <w:color w:val="000000"/>
          <w:sz w:val="24"/>
          <w:szCs w:val="24"/>
          <w:lang w:eastAsia="es-ES"/>
        </w:rPr>
        <w:t xml:space="preserve">, ello no importa, tal como ha sido indicado </w:t>
      </w:r>
      <w:r w:rsidRPr="009F6408">
        <w:rPr>
          <w:rFonts w:ascii="Times New Roman" w:eastAsiaTheme="minorEastAsia" w:hAnsi="Times New Roman" w:cs="Times New Roman"/>
          <w:i/>
          <w:iCs/>
          <w:color w:val="000000"/>
          <w:sz w:val="24"/>
          <w:szCs w:val="24"/>
          <w:lang w:eastAsia="es-ES"/>
        </w:rPr>
        <w:t>supra,</w:t>
      </w:r>
      <w:r w:rsidRPr="009F6408">
        <w:rPr>
          <w:rFonts w:ascii="Times New Roman" w:eastAsiaTheme="minorEastAsia" w:hAnsi="Times New Roman" w:cs="Times New Roman"/>
          <w:color w:val="000000"/>
          <w:sz w:val="24"/>
          <w:szCs w:val="24"/>
          <w:lang w:eastAsia="es-ES"/>
        </w:rPr>
        <w:t xml:space="preserve"> </w:t>
      </w:r>
      <w:r w:rsidRPr="009F6408">
        <w:rPr>
          <w:rFonts w:ascii="Times New Roman" w:eastAsiaTheme="minorEastAsia" w:hAnsi="Times New Roman" w:cs="Times New Roman"/>
          <w:i/>
          <w:iCs/>
          <w:color w:val="000000"/>
          <w:sz w:val="24"/>
          <w:szCs w:val="24"/>
          <w:lang w:eastAsia="es-ES"/>
        </w:rPr>
        <w:t>per se,</w:t>
      </w:r>
      <w:r w:rsidRPr="009F6408">
        <w:rPr>
          <w:rFonts w:ascii="Times New Roman" w:eastAsiaTheme="minorEastAsia" w:hAnsi="Times New Roman" w:cs="Times New Roman"/>
          <w:color w:val="000000"/>
          <w:sz w:val="24"/>
          <w:szCs w:val="24"/>
          <w:lang w:eastAsia="es-ES"/>
        </w:rPr>
        <w:t xml:space="preserve"> la negación de lo pedido. </w:t>
      </w:r>
      <w:r w:rsidRPr="009F6408">
        <w:rPr>
          <w:rFonts w:ascii="Times New Roman" w:eastAsiaTheme="minorEastAsia" w:hAnsi="Times New Roman" w:cs="Times New Roman"/>
          <w:sz w:val="24"/>
          <w:szCs w:val="24"/>
          <w:lang w:eastAsia="es-ES"/>
        </w:rPr>
        <w:t>En tal sentido, corresponde analizar la naturaleza de lo solicitado, y si la demandante se encuentra legitimada para requerir dicha información.</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12.</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sz w:val="24"/>
          <w:szCs w:val="24"/>
          <w:lang w:eastAsia="es-ES"/>
        </w:rPr>
        <w:t xml:space="preserve">Conforme ha sido señalado por la demandada en la Resolución de fecha 1º de octubre de 2008, lo solicitado resulta improcedente por cuanto de acuerdo con lo previsto en el artículo IV del Título Preliminar del Reglamento de Organización y Funciones de la Fiscalía Suprema de Control Interno del Ministerio Público, la investigación es de </w:t>
      </w:r>
      <w:r w:rsidRPr="009F6408">
        <w:rPr>
          <w:rFonts w:ascii="Times New Roman" w:eastAsiaTheme="minorEastAsia" w:hAnsi="Times New Roman" w:cs="Times New Roman"/>
          <w:i/>
          <w:iCs/>
          <w:sz w:val="24"/>
          <w:szCs w:val="24"/>
          <w:lang w:eastAsia="es-ES"/>
        </w:rPr>
        <w:t xml:space="preserve">carácter reservado. </w:t>
      </w:r>
      <w:r w:rsidRPr="009F6408">
        <w:rPr>
          <w:rFonts w:ascii="Times New Roman" w:eastAsiaTheme="minorEastAsia" w:hAnsi="Times New Roman" w:cs="Times New Roman"/>
          <w:sz w:val="24"/>
          <w:szCs w:val="24"/>
          <w:lang w:eastAsia="es-ES"/>
        </w:rPr>
        <w:t xml:space="preserve">Empero, a fin de salvaguardar el derecho al debido proceso de la demandante, se dejó abierta la posibilidad de que acceda al expediente para su estudio y revisión en las instalaciones de la Oficina Central de Control Interno en el horario establecido a fin de que elabore las estrategias procesales que estime pertinente. </w:t>
      </w:r>
    </w:p>
    <w:p w:rsidR="009F6408" w:rsidRPr="009F6408" w:rsidRDefault="009F6408" w:rsidP="009F6408">
      <w:pPr>
        <w:spacing w:after="200" w:line="276" w:lineRule="auto"/>
        <w:ind w:left="720" w:firstLine="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 xml:space="preserve">Es más, incluso la propia demandada refiere, aunque sin presentar el medio probatorio correspondiente, que la recurrente se apersonó a revisar el expediente. </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lastRenderedPageBreak/>
        <w:t>13.</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sz w:val="24"/>
          <w:szCs w:val="24"/>
          <w:lang w:eastAsia="es-ES"/>
        </w:rPr>
        <w:t>Por tal motivo, entiendo que dicha restricción resulta constitucionalmente válida más aún cuando, en atención a las singularidades del delito investigado, existe un procedimiento distinto de cualquier otro, no sólo por la naturaleza del bien jurídico tutelado (la correcta e imparcial administración de justicia) sino por la condición del sujeto activo (magistrada que ostenta el grado de Juez Superior).</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14.</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sz w:val="24"/>
          <w:szCs w:val="24"/>
          <w:lang w:eastAsia="es-ES"/>
        </w:rPr>
        <w:t>Dicha restricción, que en mi opinión resulta de leve intensidad debido a que el contenido mismo de tales actuados no le ha sido negado a la recurrente (únicamente se le ha negado entregarle copias de los mismos); resulta proporcional a la consecución de los objetivos que se persiguen, esto es, ejercitar la acción penal contra Magistrados, en este caso, del Poder Judicial que presuntamente incurren en delitos durante el ejercicio de sus atribuciones y competencias de carácter jurisdiccional, a fin de que sean procesados, y si es que se comprueba la comisión de tales delitos, sentenciarlos como corresponde luego de un proceso penal en el cual se respeten plenamente sus derechos fundamentales, y finalmente, se les destituya.</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15.</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sz w:val="24"/>
          <w:szCs w:val="24"/>
          <w:lang w:eastAsia="es-ES"/>
        </w:rPr>
        <w:t>Por ello, mientras siga en trámite la denuncia penal formulada, no se puede entregar copias de dicha documentación. Tal limitación, a mi juicio, resulta constitucionalmente irreprochable, más aún si tiene en cuenta que mientras dura dicho procedimiento, la citada magistrada continúa desempeñándose en la Corte Superior de Justicia de Lima por cuanto goza de la presunción de inocencia y no han sido suspendida en sus funciones, por lo que en salvaguarda de la investidura que ostenta, la pretensión de la recurrente debe ser desestimada.</w:t>
      </w:r>
    </w:p>
    <w:p w:rsidR="009F6408" w:rsidRPr="009F6408" w:rsidRDefault="009F6408" w:rsidP="009F6408">
      <w:pPr>
        <w:spacing w:after="200" w:line="276" w:lineRule="auto"/>
        <w:ind w:left="720" w:hanging="360"/>
        <w:rPr>
          <w:rFonts w:ascii="Calibri" w:eastAsiaTheme="minorEastAsia" w:hAnsi="Calibri" w:cs="Times New Roman"/>
          <w:lang w:eastAsia="es-ES"/>
        </w:rPr>
      </w:pPr>
      <w:r w:rsidRPr="009F6408">
        <w:rPr>
          <w:rFonts w:ascii="Times New Roman" w:eastAsiaTheme="minorEastAsia" w:hAnsi="Times New Roman" w:cs="Times New Roman"/>
          <w:sz w:val="24"/>
          <w:szCs w:val="24"/>
          <w:lang w:eastAsia="es-ES"/>
        </w:rPr>
        <w:t>§</w:t>
      </w:r>
      <w:r w:rsidRPr="009F6408">
        <w:rPr>
          <w:rFonts w:ascii="Times New Roman" w:eastAsiaTheme="minorEastAsia" w:hAnsi="Times New Roman" w:cs="Times New Roman"/>
          <w:sz w:val="14"/>
          <w:szCs w:val="14"/>
          <w:lang w:eastAsia="es-ES"/>
        </w:rPr>
        <w:t xml:space="preserve">        </w:t>
      </w:r>
      <w:r w:rsidRPr="009F6408">
        <w:rPr>
          <w:rFonts w:ascii="Times New Roman" w:eastAsiaTheme="minorEastAsia" w:hAnsi="Times New Roman" w:cs="Times New Roman"/>
          <w:b/>
          <w:bCs/>
          <w:sz w:val="24"/>
          <w:szCs w:val="24"/>
          <w:lang w:eastAsia="es-ES"/>
        </w:rPr>
        <w:t>Conclusión</w:t>
      </w:r>
    </w:p>
    <w:p w:rsidR="009F6408" w:rsidRPr="009F6408" w:rsidRDefault="009F6408" w:rsidP="009F6408">
      <w:pPr>
        <w:ind w:left="0" w:firstLine="0"/>
        <w:rPr>
          <w:rFonts w:ascii="Times New Roman" w:eastAsiaTheme="minorEastAsia" w:hAnsi="Times New Roman" w:cs="Times New Roman"/>
          <w:sz w:val="24"/>
          <w:szCs w:val="24"/>
          <w:lang w:val="es-ES_tradnl" w:eastAsia="es-ES"/>
        </w:rPr>
      </w:pPr>
      <w:r w:rsidRPr="009F6408">
        <w:rPr>
          <w:rFonts w:ascii="Times New Roman" w:eastAsiaTheme="minorEastAsia" w:hAnsi="Times New Roman" w:cs="Times New Roman"/>
          <w:sz w:val="24"/>
          <w:szCs w:val="24"/>
          <w:lang w:val="es-ES_tradnl" w:eastAsia="es-ES"/>
        </w:rPr>
        <w:t xml:space="preserve">Por tales consideraciones, mi voto es porque se declare </w:t>
      </w:r>
      <w:r w:rsidRPr="009F6408">
        <w:rPr>
          <w:rFonts w:ascii="Times New Roman" w:eastAsiaTheme="minorEastAsia" w:hAnsi="Times New Roman" w:cs="Times New Roman"/>
          <w:b/>
          <w:bCs/>
          <w:sz w:val="24"/>
          <w:szCs w:val="24"/>
          <w:lang w:val="es-ES_tradnl" w:eastAsia="es-ES"/>
        </w:rPr>
        <w:t>INFUNDADA</w:t>
      </w:r>
      <w:r w:rsidRPr="009F6408">
        <w:rPr>
          <w:rFonts w:ascii="Times New Roman" w:eastAsiaTheme="minorEastAsia" w:hAnsi="Times New Roman" w:cs="Times New Roman"/>
          <w:sz w:val="24"/>
          <w:szCs w:val="24"/>
          <w:lang w:val="es-ES_tradnl" w:eastAsia="es-ES"/>
        </w:rPr>
        <w:t xml:space="preserve"> la presente demanda.</w:t>
      </w:r>
    </w:p>
    <w:p w:rsidR="009F6408" w:rsidRPr="009F6408" w:rsidRDefault="009F6408" w:rsidP="009F6408">
      <w:pPr>
        <w:ind w:left="0" w:firstLine="0"/>
        <w:rPr>
          <w:rFonts w:ascii="Times New Roman" w:eastAsiaTheme="minorEastAsia" w:hAnsi="Times New Roman" w:cs="Times New Roman"/>
          <w:sz w:val="24"/>
          <w:szCs w:val="24"/>
          <w:lang w:val="es-ES_tradnl" w:eastAsia="es-ES"/>
        </w:rPr>
      </w:pPr>
    </w:p>
    <w:p w:rsidR="009F6408" w:rsidRPr="009F6408" w:rsidRDefault="009F6408" w:rsidP="009F6408">
      <w:pPr>
        <w:ind w:left="0" w:firstLine="0"/>
        <w:rPr>
          <w:rFonts w:ascii="Times New Roman" w:eastAsiaTheme="minorEastAsia" w:hAnsi="Times New Roman" w:cs="Times New Roman"/>
          <w:sz w:val="24"/>
          <w:szCs w:val="24"/>
          <w:lang w:eastAsia="es-ES"/>
        </w:rPr>
      </w:pPr>
    </w:p>
    <w:p w:rsidR="009F6408" w:rsidRPr="009F6408" w:rsidRDefault="009F6408" w:rsidP="009F6408">
      <w:pPr>
        <w:ind w:left="0" w:firstLine="0"/>
        <w:rPr>
          <w:rFonts w:ascii="Times New Roman" w:eastAsiaTheme="minorEastAsia" w:hAnsi="Times New Roman" w:cs="Times New Roman"/>
          <w:sz w:val="24"/>
          <w:szCs w:val="24"/>
          <w:lang w:val="es-ES_tradnl" w:eastAsia="es-ES"/>
        </w:rPr>
      </w:pPr>
      <w:r w:rsidRPr="009F6408">
        <w:rPr>
          <w:rFonts w:ascii="Times New Roman" w:eastAsiaTheme="minorEastAsia" w:hAnsi="Times New Roman" w:cs="Times New Roman"/>
          <w:sz w:val="24"/>
          <w:szCs w:val="24"/>
          <w:lang w:val="es-ES_tradnl" w:eastAsia="es-ES"/>
        </w:rPr>
        <w:t>Sr.</w:t>
      </w:r>
    </w:p>
    <w:p w:rsidR="009F6408" w:rsidRPr="009F6408" w:rsidRDefault="009F6408" w:rsidP="009F6408">
      <w:pPr>
        <w:ind w:left="0" w:firstLine="0"/>
        <w:rPr>
          <w:rFonts w:ascii="Times New Roman" w:eastAsiaTheme="minorEastAsia" w:hAnsi="Times New Roman" w:cs="Times New Roman"/>
          <w:sz w:val="24"/>
          <w:szCs w:val="24"/>
          <w:lang w:eastAsia="es-ES"/>
        </w:rPr>
      </w:pPr>
    </w:p>
    <w:p w:rsidR="009F6408" w:rsidRPr="009F6408" w:rsidRDefault="009F6408" w:rsidP="009F6408">
      <w:pPr>
        <w:ind w:left="0" w:firstLine="0"/>
        <w:rPr>
          <w:rFonts w:ascii="Times New Roman" w:eastAsiaTheme="minorEastAsia" w:hAnsi="Times New Roman" w:cs="Times New Roman"/>
          <w:sz w:val="24"/>
          <w:szCs w:val="24"/>
          <w:lang w:eastAsia="es-ES"/>
        </w:rPr>
      </w:pPr>
      <w:r w:rsidRPr="009F6408">
        <w:rPr>
          <w:rFonts w:ascii="Times New Roman" w:eastAsiaTheme="minorEastAsia" w:hAnsi="Times New Roman" w:cs="Times New Roman"/>
          <w:b/>
          <w:bCs/>
          <w:sz w:val="24"/>
          <w:szCs w:val="24"/>
          <w:lang w:val="es-ES_tradnl" w:eastAsia="es-ES"/>
        </w:rPr>
        <w:t>ÁLVAREZ MIRANDA</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01113"/>
    <w:multiLevelType w:val="multilevel"/>
    <w:tmpl w:val="7A0E008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FC219D"/>
    <w:multiLevelType w:val="multilevel"/>
    <w:tmpl w:val="63C4E9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A9432E"/>
    <w:multiLevelType w:val="multilevel"/>
    <w:tmpl w:val="07548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937F64"/>
    <w:multiLevelType w:val="multilevel"/>
    <w:tmpl w:val="FE7A2A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343EA9"/>
    <w:multiLevelType w:val="multilevel"/>
    <w:tmpl w:val="599288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B73E1C"/>
    <w:multiLevelType w:val="multilevel"/>
    <w:tmpl w:val="0FAA6C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C35AF8"/>
    <w:multiLevelType w:val="multilevel"/>
    <w:tmpl w:val="4A1EE2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9F6408"/>
    <w:rsid w:val="00063A9D"/>
    <w:rsid w:val="00146A8F"/>
    <w:rsid w:val="00253CBF"/>
    <w:rsid w:val="004432C1"/>
    <w:rsid w:val="00622AAC"/>
    <w:rsid w:val="00657103"/>
    <w:rsid w:val="008D645C"/>
    <w:rsid w:val="009F6408"/>
    <w:rsid w:val="00A41DC0"/>
    <w:rsid w:val="00D40D2F"/>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3">
    <w:name w:val="heading 3"/>
    <w:basedOn w:val="Normal"/>
    <w:link w:val="Ttulo3Car"/>
    <w:uiPriority w:val="9"/>
    <w:qFormat/>
    <w:rsid w:val="009F6408"/>
    <w:pPr>
      <w:keepNext/>
      <w:ind w:left="2552" w:firstLine="0"/>
      <w:jc w:val="left"/>
      <w:outlineLvl w:val="2"/>
    </w:pPr>
    <w:rPr>
      <w:rFonts w:ascii="Times New Roman" w:eastAsiaTheme="minorEastAsia" w:hAnsi="Times New Roman" w:cs="Times New Roman"/>
      <w:b/>
      <w:bCs/>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6408"/>
    <w:rPr>
      <w:rFonts w:ascii="Times New Roman" w:eastAsiaTheme="minorEastAsia" w:hAnsi="Times New Roman" w:cs="Times New Roman"/>
      <w:b/>
      <w:bCs/>
      <w:sz w:val="32"/>
      <w:szCs w:val="32"/>
      <w:lang w:eastAsia="es-ES"/>
    </w:rPr>
  </w:style>
  <w:style w:type="paragraph" w:styleId="Sangradetextonormal">
    <w:name w:val="Body Text Indent"/>
    <w:basedOn w:val="Normal"/>
    <w:link w:val="SangradetextonormalCar"/>
    <w:uiPriority w:val="99"/>
    <w:semiHidden/>
    <w:unhideWhenUsed/>
    <w:rsid w:val="009F6408"/>
    <w:pPr>
      <w:spacing w:after="120"/>
      <w:ind w:left="283" w:firstLine="0"/>
      <w:jc w:val="left"/>
    </w:pPr>
    <w:rPr>
      <w:rFonts w:ascii="Times New Roman" w:eastAsiaTheme="minorEastAsia"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9F6408"/>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9F6408"/>
    <w:pPr>
      <w:spacing w:after="200" w:line="276" w:lineRule="auto"/>
      <w:ind w:left="720" w:firstLine="0"/>
      <w:jc w:val="left"/>
    </w:pPr>
    <w:rPr>
      <w:rFonts w:ascii="Calibri" w:eastAsiaTheme="minorEastAsia" w:hAnsi="Calibri" w:cs="Times New Roman"/>
      <w:lang w:val="es-ES" w:eastAsia="es-ES"/>
    </w:rPr>
  </w:style>
  <w:style w:type="paragraph" w:customStyle="1" w:styleId="Sangra2detindependiente1">
    <w:name w:val="Sangría 2 de t. independiente1"/>
    <w:basedOn w:val="Normal"/>
    <w:rsid w:val="009F6408"/>
    <w:pPr>
      <w:ind w:left="0" w:firstLine="708"/>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972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F5F6C-A911-4F7B-9508-116D92EDF571}"/>
</file>

<file path=customXml/itemProps2.xml><?xml version="1.0" encoding="utf-8"?>
<ds:datastoreItem xmlns:ds="http://schemas.openxmlformats.org/officeDocument/2006/customXml" ds:itemID="{F0D8645D-BD6D-46B7-854A-8E272CFB4066}"/>
</file>

<file path=customXml/itemProps3.xml><?xml version="1.0" encoding="utf-8"?>
<ds:datastoreItem xmlns:ds="http://schemas.openxmlformats.org/officeDocument/2006/customXml" ds:itemID="{4196885F-1F41-4D5C-AB11-4909A9F9B827}"/>
</file>

<file path=docProps/app.xml><?xml version="1.0" encoding="utf-8"?>
<Properties xmlns="http://schemas.openxmlformats.org/officeDocument/2006/extended-properties" xmlns:vt="http://schemas.openxmlformats.org/officeDocument/2006/docPropsVTypes">
  <Template>Normal</Template>
  <TotalTime>0</TotalTime>
  <Pages>1</Pages>
  <Words>3534</Words>
  <Characters>19440</Characters>
  <Application>Microsoft Office Word</Application>
  <DocSecurity>0</DocSecurity>
  <Lines>162</Lines>
  <Paragraphs>45</Paragraphs>
  <ScaleCrop>false</ScaleCrop>
  <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05624-2009-PHD-TC</dc:title>
  <dc:subject/>
  <dc:creator>jmaganr</dc:creator>
  <cp:keywords>Perú</cp:keywords>
  <dc:description/>
  <cp:lastModifiedBy>jmaganr</cp:lastModifiedBy>
  <cp:revision>2</cp:revision>
  <dcterms:created xsi:type="dcterms:W3CDTF">2014-01-31T23:31:00Z</dcterms:created>
  <dcterms:modified xsi:type="dcterms:W3CDTF">2014-01-31T23:31:00Z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