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CA" w:rsidRPr="006B6BCA" w:rsidRDefault="006B6BCA" w:rsidP="006B6BCA">
      <w:pPr>
        <w:keepNext/>
        <w:ind w:left="0" w:firstLine="0"/>
        <w:outlineLvl w:val="0"/>
        <w:rPr>
          <w:rFonts w:ascii="Times New Roman" w:eastAsia="Times New Roman" w:hAnsi="Times New Roman" w:cs="Times New Roman"/>
          <w:b/>
          <w:kern w:val="36"/>
          <w:sz w:val="18"/>
          <w:szCs w:val="18"/>
          <w:lang w:val="es-ES" w:eastAsia="es-ES"/>
        </w:rPr>
      </w:pPr>
      <w:r w:rsidRPr="006B6BCA">
        <w:rPr>
          <w:rFonts w:ascii="Times New Roman" w:eastAsia="Times New Roman" w:hAnsi="Times New Roman" w:cs="Times New Roman"/>
          <w:b/>
          <w:kern w:val="36"/>
          <w:sz w:val="18"/>
          <w:szCs w:val="18"/>
          <w:lang w:val="pt-BR" w:eastAsia="es-ES"/>
        </w:rPr>
        <w:t>EXP. N.° 04159-2009-PHD/TC</w:t>
      </w:r>
    </w:p>
    <w:p w:rsidR="006B6BCA" w:rsidRPr="006B6BCA" w:rsidRDefault="006B6BCA" w:rsidP="006B6BCA">
      <w:pPr>
        <w:ind w:left="0" w:firstLine="0"/>
        <w:rPr>
          <w:rFonts w:ascii="Times New Roman" w:eastAsia="Times New Roman" w:hAnsi="Times New Roman" w:cs="Times New Roman"/>
          <w:b/>
          <w:sz w:val="18"/>
          <w:szCs w:val="18"/>
          <w:lang w:val="es-ES" w:eastAsia="es-ES"/>
        </w:rPr>
      </w:pPr>
      <w:r w:rsidRPr="006B6BCA">
        <w:rPr>
          <w:rFonts w:ascii="Times New Roman" w:eastAsia="Times New Roman" w:hAnsi="Times New Roman" w:cs="Times New Roman"/>
          <w:b/>
          <w:sz w:val="18"/>
          <w:szCs w:val="18"/>
          <w:lang w:val="pt-BR" w:eastAsia="es-ES"/>
        </w:rPr>
        <w:t>ICA</w:t>
      </w:r>
    </w:p>
    <w:p w:rsidR="006B6BCA" w:rsidRPr="006B6BCA" w:rsidRDefault="006B6BCA" w:rsidP="006B6BCA">
      <w:pPr>
        <w:ind w:left="0" w:firstLine="0"/>
        <w:jc w:val="left"/>
        <w:rPr>
          <w:rFonts w:ascii="Times New Roman" w:eastAsia="Times New Roman" w:hAnsi="Times New Roman" w:cs="Times New Roman"/>
          <w:b/>
          <w:sz w:val="18"/>
          <w:szCs w:val="18"/>
          <w:lang w:val="pt-BR" w:eastAsia="es-ES"/>
        </w:rPr>
      </w:pPr>
      <w:r w:rsidRPr="006B6BCA">
        <w:rPr>
          <w:rFonts w:ascii="Times New Roman" w:eastAsia="Times New Roman" w:hAnsi="Times New Roman" w:cs="Times New Roman"/>
          <w:b/>
          <w:sz w:val="18"/>
          <w:szCs w:val="18"/>
          <w:lang w:val="pt-BR" w:eastAsia="es-ES"/>
        </w:rPr>
        <w:t xml:space="preserve">LEONARDO ANGEL </w:t>
      </w:r>
    </w:p>
    <w:p w:rsidR="006B6BCA" w:rsidRPr="006B6BCA" w:rsidRDefault="006B6BCA" w:rsidP="006B6BCA">
      <w:pPr>
        <w:ind w:left="0" w:firstLine="0"/>
        <w:jc w:val="left"/>
        <w:rPr>
          <w:rFonts w:ascii="Times New Roman" w:eastAsia="Times New Roman" w:hAnsi="Times New Roman" w:cs="Times New Roman"/>
          <w:b/>
          <w:sz w:val="18"/>
          <w:szCs w:val="18"/>
          <w:lang w:val="es-ES" w:eastAsia="es-ES"/>
        </w:rPr>
      </w:pPr>
      <w:r w:rsidRPr="006B6BCA">
        <w:rPr>
          <w:rFonts w:ascii="Times New Roman" w:eastAsia="Times New Roman" w:hAnsi="Times New Roman" w:cs="Times New Roman"/>
          <w:b/>
          <w:sz w:val="18"/>
          <w:szCs w:val="18"/>
          <w:lang w:val="pt-BR" w:eastAsia="es-ES"/>
        </w:rPr>
        <w:t>CARPIO MANRIQUE</w:t>
      </w:r>
    </w:p>
    <w:p w:rsidR="006B6BCA" w:rsidRPr="006B6BCA" w:rsidRDefault="006B6BCA" w:rsidP="006B6BCA">
      <w:pPr>
        <w:ind w:left="0" w:firstLine="0"/>
        <w:jc w:val="left"/>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0"/>
          <w:szCs w:val="20"/>
          <w:lang w:val="pt-BR" w:eastAsia="es-ES"/>
        </w:rPr>
        <w:t> </w:t>
      </w:r>
    </w:p>
    <w:p w:rsidR="006B6BCA" w:rsidRPr="006B6BCA" w:rsidRDefault="006B6BCA" w:rsidP="006B6BCA">
      <w:pPr>
        <w:ind w:left="0" w:firstLine="0"/>
        <w:jc w:val="left"/>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pt-BR" w:eastAsia="es-ES"/>
        </w:rPr>
        <w:t> </w:t>
      </w:r>
    </w:p>
    <w:p w:rsidR="006B6BCA" w:rsidRPr="006B6BCA" w:rsidRDefault="006B6BCA" w:rsidP="006B6BCA">
      <w:pPr>
        <w:keepNext/>
        <w:snapToGrid w:val="0"/>
        <w:spacing w:before="100" w:after="100"/>
        <w:ind w:left="0" w:firstLine="0"/>
        <w:jc w:val="center"/>
        <w:rPr>
          <w:rFonts w:ascii="Times New Roman" w:eastAsia="Times New Roman" w:hAnsi="Times New Roman" w:cs="Times New Roman"/>
          <w:b/>
          <w:bCs/>
          <w:sz w:val="36"/>
          <w:szCs w:val="36"/>
          <w:lang w:val="es-ES" w:eastAsia="es-ES"/>
        </w:rPr>
      </w:pPr>
      <w:r w:rsidRPr="006B6BCA">
        <w:rPr>
          <w:rFonts w:ascii="Times New Roman" w:eastAsia="Times New Roman" w:hAnsi="Times New Roman" w:cs="Times New Roman"/>
          <w:b/>
          <w:bCs/>
          <w:sz w:val="24"/>
          <w:szCs w:val="24"/>
          <w:lang w:eastAsia="es-ES"/>
        </w:rPr>
        <w:t>SENTENCIA DEL TRIBUNAL CONSTITUCIONAL</w:t>
      </w:r>
    </w:p>
    <w:p w:rsidR="006B6BCA" w:rsidRPr="006B6BCA" w:rsidRDefault="006B6BCA" w:rsidP="006B6BCA">
      <w:pPr>
        <w:ind w:left="0" w:firstLine="0"/>
        <w:jc w:val="left"/>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709"/>
        <w:rPr>
          <w:rFonts w:ascii="Times New Roman" w:eastAsia="Times New Roman" w:hAnsi="Times New Roman" w:cs="Times New Roman"/>
          <w:sz w:val="24"/>
          <w:szCs w:val="24"/>
          <w:lang w:val="es-ES" w:eastAsia="es-ES"/>
        </w:rPr>
      </w:pPr>
      <w:r w:rsidRPr="006B6BCA">
        <w:rPr>
          <w:rFonts w:ascii="Times New Roman" w:eastAsia="Times New Roman" w:hAnsi="Times New Roman" w:cs="Times New Roman"/>
          <w:sz w:val="24"/>
          <w:szCs w:val="24"/>
          <w:lang w:val="es-ES" w:eastAsia="es-ES"/>
        </w:rPr>
        <w:t xml:space="preserve">En Lima, a los 28 días del mes de mayo de 2010, </w:t>
      </w:r>
      <w:smartTag w:uri="urn:schemas-microsoft-com:office:smarttags" w:element="PersonName">
        <w:smartTagPr>
          <w:attr w:name="ProductID" w:val="la Sala Segunda"/>
        </w:smartTagPr>
        <w:r w:rsidRPr="006B6BCA">
          <w:rPr>
            <w:rFonts w:ascii="Times New Roman" w:eastAsia="Times New Roman" w:hAnsi="Times New Roman" w:cs="Times New Roman"/>
            <w:sz w:val="24"/>
            <w:szCs w:val="24"/>
            <w:lang w:val="es-ES" w:eastAsia="es-ES"/>
          </w:rPr>
          <w:t>la Sala Segunda</w:t>
        </w:r>
      </w:smartTag>
      <w:r w:rsidRPr="006B6BCA">
        <w:rPr>
          <w:rFonts w:ascii="Times New Roman" w:eastAsia="Times New Roman" w:hAnsi="Times New Roman" w:cs="Times New Roman"/>
          <w:sz w:val="24"/>
          <w:szCs w:val="24"/>
          <w:lang w:val="es-ES" w:eastAsia="es-ES"/>
        </w:rPr>
        <w:t xml:space="preserve"> del Tribunal Constitucional, integrada por los magistrados </w:t>
      </w:r>
      <w:proofErr w:type="spellStart"/>
      <w:r w:rsidRPr="006B6BCA">
        <w:rPr>
          <w:rFonts w:ascii="Times New Roman" w:eastAsia="Times New Roman" w:hAnsi="Times New Roman" w:cs="Times New Roman"/>
          <w:sz w:val="24"/>
          <w:szCs w:val="24"/>
          <w:lang w:val="es-ES" w:eastAsia="es-ES"/>
        </w:rPr>
        <w:t>Mesía</w:t>
      </w:r>
      <w:proofErr w:type="spellEnd"/>
      <w:r w:rsidRPr="006B6BCA">
        <w:rPr>
          <w:rFonts w:ascii="Times New Roman" w:eastAsia="Times New Roman" w:hAnsi="Times New Roman" w:cs="Times New Roman"/>
          <w:sz w:val="24"/>
          <w:szCs w:val="24"/>
          <w:lang w:val="es-ES" w:eastAsia="es-ES"/>
        </w:rPr>
        <w:t xml:space="preserve"> Ramírez, Beaumont </w:t>
      </w:r>
      <w:proofErr w:type="spellStart"/>
      <w:r w:rsidRPr="006B6BCA">
        <w:rPr>
          <w:rFonts w:ascii="Times New Roman" w:eastAsia="Times New Roman" w:hAnsi="Times New Roman" w:cs="Times New Roman"/>
          <w:sz w:val="24"/>
          <w:szCs w:val="24"/>
          <w:lang w:val="es-ES" w:eastAsia="es-ES"/>
        </w:rPr>
        <w:t>Callirgos</w:t>
      </w:r>
      <w:proofErr w:type="spellEnd"/>
      <w:r w:rsidRPr="006B6BCA">
        <w:rPr>
          <w:rFonts w:ascii="Times New Roman" w:eastAsia="Times New Roman" w:hAnsi="Times New Roman" w:cs="Times New Roman"/>
          <w:sz w:val="24"/>
          <w:szCs w:val="24"/>
          <w:lang w:val="es-ES" w:eastAsia="es-ES"/>
        </w:rPr>
        <w:t xml:space="preserve"> y </w:t>
      </w:r>
      <w:proofErr w:type="spellStart"/>
      <w:r w:rsidRPr="006B6BCA">
        <w:rPr>
          <w:rFonts w:ascii="Times New Roman" w:eastAsia="Times New Roman" w:hAnsi="Times New Roman" w:cs="Times New Roman"/>
          <w:sz w:val="24"/>
          <w:szCs w:val="24"/>
          <w:lang w:val="es-ES" w:eastAsia="es-ES"/>
        </w:rPr>
        <w:t>Eto</w:t>
      </w:r>
      <w:proofErr w:type="spellEnd"/>
      <w:r w:rsidRPr="006B6BCA">
        <w:rPr>
          <w:rFonts w:ascii="Times New Roman" w:eastAsia="Times New Roman" w:hAnsi="Times New Roman" w:cs="Times New Roman"/>
          <w:sz w:val="24"/>
          <w:szCs w:val="24"/>
          <w:lang w:val="es-ES" w:eastAsia="es-ES"/>
        </w:rPr>
        <w:t xml:space="preserve"> Cruz, pronuncia la siguiente sentencia</w:t>
      </w:r>
    </w:p>
    <w:p w:rsidR="006B6BCA" w:rsidRPr="006B6BCA" w:rsidRDefault="006B6BCA" w:rsidP="006B6BCA">
      <w:pPr>
        <w:keepNext/>
        <w:ind w:left="0" w:firstLine="0"/>
        <w:jc w:val="left"/>
        <w:outlineLvl w:val="1"/>
        <w:rPr>
          <w:rFonts w:ascii="Times New Roman" w:eastAsia="Times New Roman" w:hAnsi="Times New Roman" w:cs="Times New Roman"/>
          <w:b/>
          <w:bCs/>
          <w:sz w:val="24"/>
          <w:szCs w:val="24"/>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keepNext/>
        <w:ind w:left="0" w:firstLine="0"/>
        <w:jc w:val="left"/>
        <w:outlineLvl w:val="1"/>
        <w:rPr>
          <w:rFonts w:ascii="Times New Roman" w:eastAsia="Times New Roman" w:hAnsi="Times New Roman" w:cs="Times New Roman"/>
          <w:b/>
          <w:bCs/>
          <w:sz w:val="24"/>
          <w:szCs w:val="24"/>
          <w:lang w:val="es-ES" w:eastAsia="es-ES"/>
        </w:rPr>
      </w:pPr>
      <w:r w:rsidRPr="006B6BCA">
        <w:rPr>
          <w:rFonts w:ascii="Times New Roman" w:eastAsia="Times New Roman" w:hAnsi="Times New Roman" w:cs="Times New Roman"/>
          <w:b/>
          <w:bCs/>
          <w:sz w:val="24"/>
          <w:szCs w:val="24"/>
          <w:lang w:val="es-ES" w:eastAsia="es-ES"/>
        </w:rPr>
        <w:t>ASUNTO</w:t>
      </w:r>
    </w:p>
    <w:p w:rsidR="006B6BCA" w:rsidRPr="006B6BCA" w:rsidRDefault="006B6BCA" w:rsidP="006B6BCA">
      <w:pPr>
        <w:ind w:left="0" w:firstLine="708"/>
        <w:rPr>
          <w:rFonts w:ascii="Times New Roman" w:eastAsia="Times New Roman" w:hAnsi="Times New Roman" w:cs="Times New Roman"/>
          <w:sz w:val="24"/>
          <w:szCs w:val="24"/>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708"/>
        <w:rPr>
          <w:rFonts w:ascii="Times New Roman" w:eastAsia="Times New Roman" w:hAnsi="Times New Roman" w:cs="Times New Roman"/>
          <w:sz w:val="24"/>
          <w:szCs w:val="24"/>
          <w:lang w:val="es-ES" w:eastAsia="es-ES"/>
        </w:rPr>
      </w:pPr>
      <w:r w:rsidRPr="006B6BCA">
        <w:rPr>
          <w:rFonts w:ascii="Times New Roman" w:eastAsia="Times New Roman" w:hAnsi="Times New Roman" w:cs="Times New Roman"/>
          <w:sz w:val="24"/>
          <w:szCs w:val="24"/>
          <w:lang w:val="es-ES" w:eastAsia="es-ES"/>
        </w:rPr>
        <w:t xml:space="preserve">Recurso de agravio constitucional interpuesto por don Leonardo Ángel Carpio Manrique contra la resolución de </w:t>
      </w:r>
      <w:smartTag w:uri="urn:schemas-microsoft-com:office:smarttags" w:element="PersonName">
        <w:smartTagPr>
          <w:attr w:name="ProductID" w:val="la Segunda Sala"/>
        </w:smartTagPr>
        <w:r w:rsidRPr="006B6BCA">
          <w:rPr>
            <w:rFonts w:ascii="Times New Roman" w:eastAsia="Times New Roman" w:hAnsi="Times New Roman" w:cs="Times New Roman"/>
            <w:sz w:val="24"/>
            <w:szCs w:val="24"/>
            <w:lang w:val="es-ES" w:eastAsia="es-ES"/>
          </w:rPr>
          <w:t>la Segunda Sala</w:t>
        </w:r>
      </w:smartTag>
      <w:r w:rsidRPr="006B6BCA">
        <w:rPr>
          <w:rFonts w:ascii="Times New Roman" w:eastAsia="Times New Roman"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6B6BCA">
          <w:rPr>
            <w:rFonts w:ascii="Times New Roman" w:eastAsia="Times New Roman" w:hAnsi="Times New Roman" w:cs="Times New Roman"/>
            <w:sz w:val="24"/>
            <w:szCs w:val="24"/>
            <w:lang w:val="es-ES" w:eastAsia="es-ES"/>
          </w:rPr>
          <w:t>la Corte Superior</w:t>
        </w:r>
      </w:smartTag>
      <w:r w:rsidRPr="006B6BCA">
        <w:rPr>
          <w:rFonts w:ascii="Times New Roman" w:eastAsia="Times New Roman" w:hAnsi="Times New Roman" w:cs="Times New Roman"/>
          <w:sz w:val="24"/>
          <w:szCs w:val="24"/>
          <w:lang w:val="es-ES" w:eastAsia="es-ES"/>
        </w:rPr>
        <w:t xml:space="preserve"> de Justicia de Ica, de fojas 44, su fecha 23 de junio de 2009, que declaró improcedente la demanda de autos. </w:t>
      </w:r>
    </w:p>
    <w:p w:rsidR="006B6BCA" w:rsidRPr="006B6BCA" w:rsidRDefault="006B6BCA" w:rsidP="006B6BCA">
      <w:pPr>
        <w:ind w:left="0" w:firstLine="0"/>
        <w:jc w:val="left"/>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keepNext/>
        <w:ind w:left="0" w:firstLine="0"/>
        <w:jc w:val="left"/>
        <w:outlineLvl w:val="1"/>
        <w:rPr>
          <w:rFonts w:ascii="Times New Roman" w:eastAsia="Times New Roman" w:hAnsi="Times New Roman" w:cs="Times New Roman"/>
          <w:b/>
          <w:bCs/>
          <w:sz w:val="24"/>
          <w:szCs w:val="24"/>
          <w:lang w:val="es-ES" w:eastAsia="es-ES"/>
        </w:rPr>
      </w:pPr>
      <w:r w:rsidRPr="006B6BCA">
        <w:rPr>
          <w:rFonts w:ascii="Times New Roman" w:eastAsia="Times New Roman" w:hAnsi="Times New Roman" w:cs="Times New Roman"/>
          <w:b/>
          <w:bCs/>
          <w:sz w:val="24"/>
          <w:szCs w:val="24"/>
          <w:lang w:val="es-ES" w:eastAsia="es-ES"/>
        </w:rPr>
        <w:t>ANTECEDENTES</w:t>
      </w:r>
    </w:p>
    <w:p w:rsidR="006B6BCA" w:rsidRPr="006B6BCA" w:rsidRDefault="006B6BCA" w:rsidP="006B6BCA">
      <w:pPr>
        <w:ind w:left="0" w:firstLine="708"/>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708"/>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xml:space="preserve">Con fecha 14 de octubre de 2008, el recurrente interpone demanda de hábeas data contra el Director del Hospital Regional del Ministerio de Salud de Ica, con el objeto que le entregue la </w:t>
      </w:r>
      <w:proofErr w:type="spellStart"/>
      <w:r w:rsidRPr="006B6BCA">
        <w:rPr>
          <w:rFonts w:ascii="Times New Roman" w:eastAsia="Times New Roman" w:hAnsi="Times New Roman" w:cs="Times New Roman"/>
          <w:sz w:val="24"/>
          <w:szCs w:val="24"/>
          <w:lang w:val="es-ES" w:eastAsia="es-ES"/>
        </w:rPr>
        <w:t>epicrisis</w:t>
      </w:r>
      <w:proofErr w:type="spellEnd"/>
      <w:r w:rsidRPr="006B6BCA">
        <w:rPr>
          <w:rFonts w:ascii="Times New Roman" w:eastAsia="Times New Roman" w:hAnsi="Times New Roman" w:cs="Times New Roman"/>
          <w:sz w:val="24"/>
          <w:szCs w:val="24"/>
          <w:lang w:val="es-ES" w:eastAsia="es-ES"/>
        </w:rPr>
        <w:t xml:space="preserve"> de don Juan Pablo Torres Galindo, quien manejaba la camioneta de placa de rodaje PIA – 911 de propiedad de </w:t>
      </w:r>
      <w:smartTag w:uri="urn:schemas-microsoft-com:office:smarttags" w:element="PersonName">
        <w:smartTagPr>
          <w:attr w:name="ProductID" w:val="la UGEL"/>
        </w:smartTagPr>
        <w:r w:rsidRPr="006B6BCA">
          <w:rPr>
            <w:rFonts w:ascii="Times New Roman" w:eastAsia="Times New Roman" w:hAnsi="Times New Roman" w:cs="Times New Roman"/>
            <w:sz w:val="24"/>
            <w:szCs w:val="24"/>
            <w:lang w:val="es-ES" w:eastAsia="es-ES"/>
          </w:rPr>
          <w:t>la UGEL</w:t>
        </w:r>
      </w:smartTag>
      <w:r w:rsidRPr="006B6BCA">
        <w:rPr>
          <w:rFonts w:ascii="Times New Roman" w:eastAsia="Times New Roman" w:hAnsi="Times New Roman" w:cs="Times New Roman"/>
          <w:sz w:val="24"/>
          <w:szCs w:val="24"/>
          <w:lang w:val="es-ES" w:eastAsia="es-ES"/>
        </w:rPr>
        <w:t xml:space="preserve"> – CHINCHA y llevaba como pasajero a su hijo, don Arturo Miguel Leonardo Carpio Castro, quien se desempeñaba como Jefe de Asesoría Jurídica de dicha entidad y quien falleciera el día 6 de junio de 2008 en la carretera Panamericana Sur, sector </w:t>
      </w:r>
      <w:smartTag w:uri="urn:schemas-microsoft-com:office:smarttags" w:element="PersonName">
        <w:smartTagPr>
          <w:attr w:name="ProductID" w:val="La Bandera. Sostiene"/>
        </w:smartTagPr>
        <w:r w:rsidRPr="006B6BCA">
          <w:rPr>
            <w:rFonts w:ascii="Times New Roman" w:eastAsia="Times New Roman" w:hAnsi="Times New Roman" w:cs="Times New Roman"/>
            <w:sz w:val="24"/>
            <w:szCs w:val="24"/>
            <w:lang w:val="es-ES" w:eastAsia="es-ES"/>
          </w:rPr>
          <w:t>La Bandera. Sostiene</w:t>
        </w:r>
      </w:smartTag>
      <w:r w:rsidRPr="006B6BCA">
        <w:rPr>
          <w:rFonts w:ascii="Times New Roman" w:eastAsia="Times New Roman" w:hAnsi="Times New Roman" w:cs="Times New Roman"/>
          <w:sz w:val="24"/>
          <w:szCs w:val="24"/>
          <w:lang w:val="es-ES" w:eastAsia="es-ES"/>
        </w:rPr>
        <w:t xml:space="preserve"> que requiere dicha información de carácter público, para esclarecer lo ocurrido en la fecha precitada.</w:t>
      </w:r>
    </w:p>
    <w:p w:rsidR="006B6BCA" w:rsidRPr="006B6BCA" w:rsidRDefault="006B6BCA" w:rsidP="006B6BCA">
      <w:pPr>
        <w:ind w:left="0" w:firstLine="708"/>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708"/>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xml:space="preserve">El Director Ejecutivo del Hospital Regional de Ica contesta la demanda solicitando que la demanda sea declarada infundada, en aplicación del artículo 2.5º de </w:t>
      </w:r>
      <w:smartTag w:uri="urn:schemas-microsoft-com:office:smarttags" w:element="PersonName">
        <w:smartTagPr>
          <w:attr w:name="ProductID" w:val="la Constitución"/>
        </w:smartTagPr>
        <w:r w:rsidRPr="006B6BCA">
          <w:rPr>
            <w:rFonts w:ascii="Times New Roman" w:eastAsia="Times New Roman" w:hAnsi="Times New Roman" w:cs="Times New Roman"/>
            <w:sz w:val="24"/>
            <w:szCs w:val="24"/>
            <w:lang w:val="es-ES" w:eastAsia="es-ES"/>
          </w:rPr>
          <w:t>la Constitución</w:t>
        </w:r>
      </w:smartTag>
      <w:r w:rsidRPr="006B6BCA">
        <w:rPr>
          <w:rFonts w:ascii="Times New Roman" w:eastAsia="Times New Roman" w:hAnsi="Times New Roman" w:cs="Times New Roman"/>
          <w:sz w:val="24"/>
          <w:szCs w:val="24"/>
          <w:lang w:val="es-ES" w:eastAsia="es-ES"/>
        </w:rPr>
        <w:t xml:space="preserve"> y de </w:t>
      </w:r>
      <w:smartTag w:uri="urn:schemas-microsoft-com:office:smarttags" w:element="PersonName">
        <w:smartTagPr>
          <w:attr w:name="ProductID" w:val="la Ley N.º"/>
        </w:smartTagPr>
        <w:r w:rsidRPr="006B6BCA">
          <w:rPr>
            <w:rFonts w:ascii="Times New Roman" w:eastAsia="Times New Roman" w:hAnsi="Times New Roman" w:cs="Times New Roman"/>
            <w:sz w:val="24"/>
            <w:szCs w:val="24"/>
            <w:lang w:val="es-ES" w:eastAsia="es-ES"/>
          </w:rPr>
          <w:t>la Ley N</w:t>
        </w:r>
        <w:proofErr w:type="gramStart"/>
        <w:r w:rsidRPr="006B6BCA">
          <w:rPr>
            <w:rFonts w:ascii="Times New Roman" w:eastAsia="Times New Roman" w:hAnsi="Times New Roman" w:cs="Times New Roman"/>
            <w:sz w:val="24"/>
            <w:szCs w:val="24"/>
            <w:lang w:val="es-ES" w:eastAsia="es-ES"/>
          </w:rPr>
          <w:t>.º</w:t>
        </w:r>
      </w:smartTag>
      <w:proofErr w:type="gramEnd"/>
      <w:r w:rsidRPr="006B6BCA">
        <w:rPr>
          <w:rFonts w:ascii="Times New Roman" w:eastAsia="Times New Roman" w:hAnsi="Times New Roman" w:cs="Times New Roman"/>
          <w:sz w:val="24"/>
          <w:szCs w:val="24"/>
          <w:lang w:val="es-ES" w:eastAsia="es-ES"/>
        </w:rPr>
        <w:t xml:space="preserve"> 26842, Ley General de Salud, dispositivos que establecen que no se puede suministrar información que afecte la intimidad personal y familiar.</w:t>
      </w:r>
    </w:p>
    <w:p w:rsidR="006B6BCA" w:rsidRPr="006B6BCA" w:rsidRDefault="006B6BCA" w:rsidP="006B6BCA">
      <w:pPr>
        <w:ind w:left="0" w:firstLine="708"/>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708"/>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xml:space="preserve">El Segundo Juzgado Especializado Civil de Ica, con fecha 31 de marzo de 2009 (f. 27), declaró improcedente la demanda, por considerar que el derecho de acceso a la información no comprende a la información que forma parte de la vida privada de terceros; en ese contexto, el artículo 25º de </w:t>
      </w:r>
      <w:smartTag w:uri="urn:schemas-microsoft-com:office:smarttags" w:element="PersonName">
        <w:smartTagPr>
          <w:attr w:name="ProductID" w:val="la Ley N.º"/>
        </w:smartTagPr>
        <w:r w:rsidRPr="006B6BCA">
          <w:rPr>
            <w:rFonts w:ascii="Times New Roman" w:eastAsia="Times New Roman" w:hAnsi="Times New Roman" w:cs="Times New Roman"/>
            <w:sz w:val="24"/>
            <w:szCs w:val="24"/>
            <w:lang w:val="es-ES" w:eastAsia="es-ES"/>
          </w:rPr>
          <w:t>la Ley N</w:t>
        </w:r>
        <w:proofErr w:type="gramStart"/>
        <w:r w:rsidRPr="006B6BCA">
          <w:rPr>
            <w:rFonts w:ascii="Times New Roman" w:eastAsia="Times New Roman" w:hAnsi="Times New Roman" w:cs="Times New Roman"/>
            <w:sz w:val="24"/>
            <w:szCs w:val="24"/>
            <w:lang w:val="es-ES" w:eastAsia="es-ES"/>
          </w:rPr>
          <w:t>.º</w:t>
        </w:r>
      </w:smartTag>
      <w:proofErr w:type="gramEnd"/>
      <w:r w:rsidRPr="006B6BCA">
        <w:rPr>
          <w:rFonts w:ascii="Times New Roman" w:eastAsia="Times New Roman" w:hAnsi="Times New Roman" w:cs="Times New Roman"/>
          <w:sz w:val="24"/>
          <w:szCs w:val="24"/>
          <w:lang w:val="es-ES" w:eastAsia="es-ES"/>
        </w:rPr>
        <w:t xml:space="preserve"> 26482, Ley General de Salud, establece que toda información relativa al acto médico que se realiza tiene carácter reservado, con las excepciones que refiere dicho dispositivo. </w:t>
      </w:r>
    </w:p>
    <w:p w:rsidR="006B6BCA" w:rsidRPr="006B6BCA" w:rsidRDefault="006B6BCA" w:rsidP="006B6BCA">
      <w:pPr>
        <w:ind w:left="0" w:firstLine="708"/>
        <w:rPr>
          <w:rFonts w:ascii="Times New Roman" w:eastAsia="Times New Roman" w:hAnsi="Times New Roman" w:cs="Times New Roman"/>
          <w:sz w:val="20"/>
          <w:szCs w:val="20"/>
          <w:lang w:val="es-ES" w:eastAsia="es-ES"/>
        </w:rPr>
      </w:pPr>
      <w:smartTag w:uri="urn:schemas-microsoft-com:office:smarttags" w:element="PersonName">
        <w:smartTagPr>
          <w:attr w:name="ProductID" w:val="la Segunda Sala"/>
        </w:smartTagPr>
        <w:r w:rsidRPr="006B6BCA">
          <w:rPr>
            <w:rFonts w:ascii="Times New Roman" w:eastAsia="Times New Roman" w:hAnsi="Times New Roman" w:cs="Times New Roman"/>
            <w:sz w:val="24"/>
            <w:szCs w:val="24"/>
            <w:lang w:val="es-ES" w:eastAsia="es-ES"/>
          </w:rPr>
          <w:t>La Segunda Sala</w:t>
        </w:r>
      </w:smartTag>
      <w:r w:rsidRPr="006B6BCA">
        <w:rPr>
          <w:rFonts w:ascii="Times New Roman" w:eastAsia="Times New Roman"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6B6BCA">
          <w:rPr>
            <w:rFonts w:ascii="Times New Roman" w:eastAsia="Times New Roman" w:hAnsi="Times New Roman" w:cs="Times New Roman"/>
            <w:sz w:val="24"/>
            <w:szCs w:val="24"/>
            <w:lang w:val="es-ES" w:eastAsia="es-ES"/>
          </w:rPr>
          <w:t>la Corte Superior</w:t>
        </w:r>
      </w:smartTag>
      <w:r w:rsidRPr="006B6BCA">
        <w:rPr>
          <w:rFonts w:ascii="Times New Roman" w:eastAsia="Times New Roman" w:hAnsi="Times New Roman" w:cs="Times New Roman"/>
          <w:sz w:val="24"/>
          <w:szCs w:val="24"/>
          <w:lang w:val="es-ES" w:eastAsia="es-ES"/>
        </w:rPr>
        <w:t xml:space="preserve"> de Justicia de Ica confirmó la apelada similares argumentos, citando otros dispositivos legales.</w:t>
      </w:r>
    </w:p>
    <w:p w:rsidR="006B6BCA" w:rsidRPr="006B6BCA" w:rsidRDefault="006B6BCA" w:rsidP="006B6BCA">
      <w:pPr>
        <w:ind w:left="0" w:firstLine="708"/>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lastRenderedPageBreak/>
        <w:t> </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b/>
          <w:bCs/>
          <w:sz w:val="24"/>
          <w:szCs w:val="24"/>
          <w:lang w:val="es-ES" w:eastAsia="es-ES"/>
        </w:rPr>
        <w:t>FUNDAMENTOS</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b/>
          <w:bCs/>
          <w:sz w:val="24"/>
          <w:szCs w:val="24"/>
          <w:lang w:val="es-ES" w:eastAsia="es-ES"/>
        </w:rPr>
        <w:t> </w:t>
      </w: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1.</w:t>
      </w:r>
      <w:r w:rsidRPr="006B6BCA">
        <w:rPr>
          <w:rFonts w:ascii="Times New Roman" w:eastAsia="Times New Roman" w:hAnsi="Times New Roman" w:cs="Times New Roman"/>
          <w:sz w:val="14"/>
          <w:szCs w:val="14"/>
          <w:lang w:val="es-ES" w:eastAsia="es-ES"/>
        </w:rPr>
        <w:t xml:space="preserve">      </w:t>
      </w:r>
      <w:r w:rsidRPr="006B6BCA">
        <w:rPr>
          <w:rFonts w:ascii="Times New Roman" w:eastAsia="Times New Roman" w:hAnsi="Times New Roman" w:cs="Times New Roman"/>
          <w:sz w:val="24"/>
          <w:szCs w:val="24"/>
          <w:lang w:val="es-ES" w:eastAsia="es-ES"/>
        </w:rPr>
        <w:t xml:space="preserve">La demanda tiene por objeto que la autoridad emplazada haga entrega al demandante en autos de la información solicitada, consistente en la </w:t>
      </w:r>
      <w:proofErr w:type="spellStart"/>
      <w:r w:rsidRPr="006B6BCA">
        <w:rPr>
          <w:rFonts w:ascii="Times New Roman" w:eastAsia="Times New Roman" w:hAnsi="Times New Roman" w:cs="Times New Roman"/>
          <w:sz w:val="24"/>
          <w:szCs w:val="24"/>
          <w:lang w:val="es-ES" w:eastAsia="es-ES"/>
        </w:rPr>
        <w:t>epicrisis</w:t>
      </w:r>
      <w:proofErr w:type="spellEnd"/>
      <w:r w:rsidRPr="006B6BCA">
        <w:rPr>
          <w:rFonts w:ascii="Times New Roman" w:eastAsia="Times New Roman" w:hAnsi="Times New Roman" w:cs="Times New Roman"/>
          <w:sz w:val="24"/>
          <w:szCs w:val="24"/>
          <w:lang w:val="es-ES" w:eastAsia="es-ES"/>
        </w:rPr>
        <w:t xml:space="preserve"> perteneciente a una tercera persona que está involucrada con un accidente de tránsito en el que el hijo del demandante falleció.</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2.</w:t>
      </w:r>
      <w:r w:rsidRPr="006B6BCA">
        <w:rPr>
          <w:rFonts w:ascii="Times New Roman" w:eastAsia="Times New Roman" w:hAnsi="Times New Roman" w:cs="Times New Roman"/>
          <w:sz w:val="14"/>
          <w:szCs w:val="14"/>
          <w:lang w:val="es-ES" w:eastAsia="es-ES"/>
        </w:rPr>
        <w:t xml:space="preserve">      </w:t>
      </w:r>
      <w:r w:rsidRPr="006B6BCA">
        <w:rPr>
          <w:rFonts w:ascii="Times New Roman" w:eastAsia="Times New Roman" w:hAnsi="Times New Roman" w:cs="Times New Roman"/>
          <w:sz w:val="24"/>
          <w:szCs w:val="24"/>
          <w:lang w:val="es-ES" w:eastAsia="es-ES"/>
        </w:rPr>
        <w:t>A fojas 2 corre el documento presentado por el demandante ante la entidad emplazada, solicitando la documentación a que se ha hecho referencia.</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b/>
          <w:bCs/>
          <w:sz w:val="24"/>
          <w:szCs w:val="24"/>
          <w:lang w:val="es-ES_tradnl" w:eastAsia="es-ES"/>
        </w:rPr>
        <w:t xml:space="preserve">Ámbito protegido del derecho de acceso a la información “pública” </w:t>
      </w: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3.</w:t>
      </w:r>
      <w:r w:rsidRPr="006B6BCA">
        <w:rPr>
          <w:rFonts w:ascii="Times New Roman" w:eastAsia="Times New Roman" w:hAnsi="Times New Roman" w:cs="Times New Roman"/>
          <w:sz w:val="14"/>
          <w:szCs w:val="14"/>
          <w:lang w:val="es-ES" w:eastAsia="es-ES"/>
        </w:rPr>
        <w:t xml:space="preserve">      </w:t>
      </w:r>
      <w:r w:rsidRPr="006B6BCA">
        <w:rPr>
          <w:rFonts w:ascii="Times New Roman" w:eastAsia="Times New Roman" w:hAnsi="Times New Roman" w:cs="Times New Roman"/>
          <w:sz w:val="24"/>
          <w:szCs w:val="24"/>
          <w:lang w:val="es-ES_tradnl" w:eastAsia="es-ES"/>
        </w:rPr>
        <w:t xml:space="preserve">El derecho fundamental de acceso a la información pública se encuentra reconocido en el inciso 5 del artículo 2 de </w:t>
      </w:r>
      <w:smartTag w:uri="urn:schemas-microsoft-com:office:smarttags" w:element="PersonName">
        <w:smartTagPr>
          <w:attr w:name="ProductID" w:val="la Constitución"/>
        </w:smartTagPr>
        <w:r w:rsidRPr="006B6BCA">
          <w:rPr>
            <w:rFonts w:ascii="Times New Roman" w:eastAsia="Times New Roman" w:hAnsi="Times New Roman" w:cs="Times New Roman"/>
            <w:sz w:val="24"/>
            <w:szCs w:val="24"/>
            <w:lang w:val="es-ES_tradnl" w:eastAsia="es-ES"/>
          </w:rPr>
          <w:t>la Constitución</w:t>
        </w:r>
      </w:smartTag>
      <w:r w:rsidRPr="006B6BCA">
        <w:rPr>
          <w:rFonts w:ascii="Times New Roman" w:eastAsia="Times New Roman" w:hAnsi="Times New Roman" w:cs="Times New Roman"/>
          <w:sz w:val="24"/>
          <w:szCs w:val="24"/>
          <w:lang w:val="es-ES_tradnl" w:eastAsia="es-ES"/>
        </w:rPr>
        <w:t xml:space="preserve"> de 1993. Asimismo, y como ha señalado </w:t>
      </w:r>
      <w:smartTag w:uri="urn:schemas-microsoft-com:office:smarttags" w:element="PersonName">
        <w:smartTagPr>
          <w:attr w:name="ProductID" w:val="la Corte Interamericana"/>
        </w:smartTagPr>
        <w:r w:rsidRPr="006B6BCA">
          <w:rPr>
            <w:rFonts w:ascii="Times New Roman" w:eastAsia="Times New Roman" w:hAnsi="Times New Roman" w:cs="Times New Roman"/>
            <w:sz w:val="24"/>
            <w:szCs w:val="24"/>
            <w:lang w:val="es-ES_tradnl" w:eastAsia="es-ES"/>
          </w:rPr>
          <w:t>la Corte Interamericana</w:t>
        </w:r>
      </w:smartTag>
      <w:r w:rsidRPr="006B6BCA">
        <w:rPr>
          <w:rFonts w:ascii="Times New Roman" w:eastAsia="Times New Roman" w:hAnsi="Times New Roman" w:cs="Times New Roman"/>
          <w:sz w:val="24"/>
          <w:szCs w:val="24"/>
          <w:lang w:val="es-ES_tradnl" w:eastAsia="es-ES"/>
        </w:rPr>
        <w:t xml:space="preserve"> de Derechos Humanos, se encuentra reconocido en el artículo 13 de </w:t>
      </w:r>
      <w:smartTag w:uri="urn:schemas-microsoft-com:office:smarttags" w:element="PersonName">
        <w:smartTagPr>
          <w:attr w:name="ProductID" w:val="la Convención Americana"/>
        </w:smartTagPr>
        <w:r w:rsidRPr="006B6BCA">
          <w:rPr>
            <w:rFonts w:ascii="Times New Roman" w:eastAsia="Times New Roman" w:hAnsi="Times New Roman" w:cs="Times New Roman"/>
            <w:sz w:val="24"/>
            <w:szCs w:val="24"/>
            <w:lang w:val="es-ES_tradnl" w:eastAsia="es-ES"/>
          </w:rPr>
          <w:t>la Convención Americana</w:t>
        </w:r>
      </w:smartTag>
      <w:r w:rsidRPr="006B6BCA">
        <w:rPr>
          <w:rFonts w:ascii="Times New Roman" w:eastAsia="Times New Roman" w:hAnsi="Times New Roman" w:cs="Times New Roman"/>
          <w:sz w:val="24"/>
          <w:szCs w:val="24"/>
          <w:lang w:val="es-ES_tradnl" w:eastAsia="es-ES"/>
        </w:rPr>
        <w:t xml:space="preserve"> sobre Derechos Humanos (caso Claude Reyes vs. Chile, del 19 de setiembre del 2006, fundamento 77). En términos generales, este derecho consiste en la facultad que tiene toda persona de solicitar y acceder a la información que se encuentra en poder de las entidades estatales. </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4.</w:t>
      </w:r>
      <w:r w:rsidRPr="006B6BCA">
        <w:rPr>
          <w:rFonts w:ascii="Times New Roman" w:eastAsia="Times New Roman" w:hAnsi="Times New Roman" w:cs="Times New Roman"/>
          <w:sz w:val="14"/>
          <w:szCs w:val="14"/>
          <w:lang w:val="es-ES" w:eastAsia="es-ES"/>
        </w:rPr>
        <w:t xml:space="preserve">      </w:t>
      </w:r>
      <w:r w:rsidRPr="006B6BCA">
        <w:rPr>
          <w:rFonts w:ascii="Times New Roman" w:eastAsia="Times New Roman" w:hAnsi="Times New Roman" w:cs="Times New Roman"/>
          <w:sz w:val="24"/>
          <w:szCs w:val="24"/>
          <w:lang w:val="es-ES" w:eastAsia="es-ES"/>
        </w:rPr>
        <w:t xml:space="preserve">Como ya lo ha expresado este Tribunal Constitucional, el derecho de acceso a la información tiene una vertiente individual y una colectiva. La primera centra su relevancia en el beneficio individual que la persona tiene al acceder a la información pública solicitada, con lo que puede ejercer otros derechos de relevancia constitucional, como la libertad de investigación, de opinión o de participación ciudadana. La vertiente colectiva, en cambio, comprende a la información pública como un “auténtico bien público o colectivo, que ha de estar al alcance de cualquier individuo, no sólo con el fin de posibilitar la plena eficacia de los principios de publicidad y transparencia de </w:t>
      </w:r>
      <w:smartTag w:uri="urn:schemas-microsoft-com:office:smarttags" w:element="PersonName">
        <w:smartTagPr>
          <w:attr w:name="ProductID" w:val="la Administración Pública"/>
        </w:smartTagPr>
        <w:r w:rsidRPr="006B6BCA">
          <w:rPr>
            <w:rFonts w:ascii="Times New Roman" w:eastAsia="Times New Roman" w:hAnsi="Times New Roman" w:cs="Times New Roman"/>
            <w:sz w:val="24"/>
            <w:szCs w:val="24"/>
            <w:lang w:val="es-ES" w:eastAsia="es-ES"/>
          </w:rPr>
          <w:t>la Administración Pública</w:t>
        </w:r>
      </w:smartTag>
      <w:r w:rsidRPr="006B6BCA">
        <w:rPr>
          <w:rFonts w:ascii="Times New Roman" w:eastAsia="Times New Roman" w:hAnsi="Times New Roman" w:cs="Times New Roman"/>
          <w:sz w:val="24"/>
          <w:szCs w:val="24"/>
          <w:lang w:val="es-ES" w:eastAsia="es-ES"/>
        </w:rPr>
        <w:t>, en los que se funda el régimen republicano, sino también como un medio de control institucional sobre los representantes de la sociedad; y también, desde luego, para instar el control sobre aquellos particulares que se encuentran en la capacidad de poder inducir o determinar las conductas de otros particulares o, lo que es más grave en una sociedad como la que nos toca vivir, su misma subordinación” [STC 01797-2002-HD/TC, fundamentos 10 y 11]. Evidentemente ambas dimensiones conforman indisolublemente este derecho, respondiendo tal división a una finalidad didáctica que permita presentar un análisis detallado de su estructura.</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5.</w:t>
      </w:r>
      <w:r w:rsidRPr="006B6BCA">
        <w:rPr>
          <w:rFonts w:ascii="Times New Roman" w:eastAsia="Times New Roman" w:hAnsi="Times New Roman" w:cs="Times New Roman"/>
          <w:sz w:val="14"/>
          <w:szCs w:val="14"/>
          <w:lang w:val="es-ES" w:eastAsia="es-ES"/>
        </w:rPr>
        <w:t xml:space="preserve">      </w:t>
      </w:r>
      <w:r w:rsidRPr="006B6BCA">
        <w:rPr>
          <w:rFonts w:ascii="Times New Roman" w:eastAsia="Times New Roman" w:hAnsi="Times New Roman" w:cs="Times New Roman"/>
          <w:sz w:val="24"/>
          <w:szCs w:val="24"/>
          <w:lang w:val="es-ES" w:eastAsia="es-ES"/>
        </w:rPr>
        <w:t xml:space="preserve">De otro lado, el contenido constitucionalmente protegido del derecho de acceso a la información pública es que nadie pueda ser arbitrariamente impedido de acceder a la información que guarden, mantengan o elaboren las diversas instancias y organismos del Estado o personas jurídicas bajo el </w:t>
      </w:r>
      <w:r w:rsidRPr="006B6BCA">
        <w:rPr>
          <w:rFonts w:ascii="Times New Roman" w:eastAsia="Times New Roman" w:hAnsi="Times New Roman" w:cs="Times New Roman"/>
          <w:sz w:val="24"/>
          <w:szCs w:val="24"/>
          <w:lang w:val="es-ES" w:eastAsia="es-ES"/>
        </w:rPr>
        <w:lastRenderedPageBreak/>
        <w:t xml:space="preserve">régimen privado que prestan servicios públicos o ejerzan función administrativa, en virtud de concesión, delegación o autorización. Asimismo, tal como lo expresa el artículo 2, inciso 5 de </w:t>
      </w:r>
      <w:smartTag w:uri="urn:schemas-microsoft-com:office:smarttags" w:element="PersonName">
        <w:smartTagPr>
          <w:attr w:name="ProductID" w:val="la Constitución"/>
        </w:smartTagPr>
        <w:r w:rsidRPr="006B6BCA">
          <w:rPr>
            <w:rFonts w:ascii="Times New Roman" w:eastAsia="Times New Roman" w:hAnsi="Times New Roman" w:cs="Times New Roman"/>
            <w:sz w:val="24"/>
            <w:szCs w:val="24"/>
            <w:lang w:val="es-ES" w:eastAsia="es-ES"/>
          </w:rPr>
          <w:t>la Constitución</w:t>
        </w:r>
      </w:smartTag>
      <w:r w:rsidRPr="006B6BCA">
        <w:rPr>
          <w:rFonts w:ascii="Times New Roman" w:eastAsia="Times New Roman" w:hAnsi="Times New Roman" w:cs="Times New Roman"/>
          <w:sz w:val="24"/>
          <w:szCs w:val="24"/>
          <w:lang w:val="es-ES" w:eastAsia="es-ES"/>
        </w:rPr>
        <w:t>, la persona que solicite la información pública solo tendrá que abonar el costo que suponga tal pedido. Dicho costo tendrá que ser proporcional, quedando vedada cualquier exigencia de pagos exagerados, ya que, de lo contrario, también se estará afectando el contenido constitucionalmente protegido del derecho de acceso a la información pública.</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6.</w:t>
      </w:r>
      <w:r w:rsidRPr="006B6BCA">
        <w:rPr>
          <w:rFonts w:ascii="Times New Roman" w:eastAsia="Times New Roman" w:hAnsi="Times New Roman" w:cs="Times New Roman"/>
          <w:sz w:val="14"/>
          <w:szCs w:val="14"/>
          <w:lang w:val="es-ES" w:eastAsia="es-ES"/>
        </w:rPr>
        <w:t xml:space="preserve">      </w:t>
      </w:r>
      <w:r w:rsidRPr="006B6BCA">
        <w:rPr>
          <w:rFonts w:ascii="Times New Roman" w:eastAsia="Times New Roman" w:hAnsi="Times New Roman" w:cs="Times New Roman"/>
          <w:sz w:val="24"/>
          <w:szCs w:val="24"/>
          <w:lang w:val="es-ES" w:eastAsia="es-ES"/>
        </w:rPr>
        <w:t>De acuerdo a lo expuesto, las vulneraciones del derecho al acceso a la información pública pueden clasificarse en dos tipos: a) por omisión: cuando la solicitud no es contestada; y, b) por acción: cuando se niega arbitraria y expresamente la información solicitada o se condiciona la entrega de la información a un pago desproporcionado.</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7.</w:t>
      </w:r>
      <w:r w:rsidRPr="006B6BCA">
        <w:rPr>
          <w:rFonts w:ascii="Times New Roman" w:eastAsia="Times New Roman" w:hAnsi="Times New Roman" w:cs="Times New Roman"/>
          <w:sz w:val="14"/>
          <w:szCs w:val="14"/>
          <w:lang w:val="es-ES" w:eastAsia="es-ES"/>
        </w:rPr>
        <w:t xml:space="preserve">      </w:t>
      </w:r>
      <w:r w:rsidRPr="006B6BCA">
        <w:rPr>
          <w:rFonts w:ascii="Times New Roman" w:eastAsia="Times New Roman" w:hAnsi="Times New Roman" w:cs="Times New Roman"/>
          <w:sz w:val="24"/>
          <w:szCs w:val="24"/>
          <w:lang w:val="es-ES" w:eastAsia="es-ES"/>
        </w:rPr>
        <w:t xml:space="preserve">Ahora bien, como ya lo ha expresado el Tribunal Constitucional, el derecho de acceso a la información pública es una modalidad o concreción del derecho de petición [STC 1797-2002-HD/TC, fundamentos 5-7], que </w:t>
      </w:r>
      <w:r w:rsidRPr="006B6BCA">
        <w:rPr>
          <w:rFonts w:ascii="Times New Roman" w:eastAsia="Times New Roman" w:hAnsi="Times New Roman" w:cs="Times New Roman"/>
          <w:sz w:val="24"/>
          <w:szCs w:val="24"/>
          <w:lang w:val="es-MX" w:eastAsia="es-ES"/>
        </w:rPr>
        <w:t xml:space="preserve">está conformado por dos aspectos: 1) </w:t>
      </w:r>
      <w:r w:rsidRPr="006B6BCA">
        <w:rPr>
          <w:rFonts w:ascii="Times New Roman" w:eastAsia="Times New Roman" w:hAnsi="Times New Roman" w:cs="Times New Roman"/>
          <w:sz w:val="24"/>
          <w:szCs w:val="24"/>
          <w:lang w:val="es-ES" w:eastAsia="es-ES"/>
        </w:rPr>
        <w:t xml:space="preserve">La libertad de la persona de formular pedidos por escrito ante autoridad competente; y, 2) La obligación de dicha autoridad de dar respuesta al </w:t>
      </w:r>
      <w:proofErr w:type="spellStart"/>
      <w:r w:rsidRPr="006B6BCA">
        <w:rPr>
          <w:rFonts w:ascii="Times New Roman" w:eastAsia="Times New Roman" w:hAnsi="Times New Roman" w:cs="Times New Roman"/>
          <w:sz w:val="24"/>
          <w:szCs w:val="24"/>
          <w:lang w:val="es-ES" w:eastAsia="es-ES"/>
        </w:rPr>
        <w:t>peticionante</w:t>
      </w:r>
      <w:proofErr w:type="spellEnd"/>
      <w:r w:rsidRPr="006B6BCA">
        <w:rPr>
          <w:rFonts w:ascii="Times New Roman" w:eastAsia="Times New Roman" w:hAnsi="Times New Roman" w:cs="Times New Roman"/>
          <w:sz w:val="24"/>
          <w:szCs w:val="24"/>
          <w:lang w:val="es-ES" w:eastAsia="es-ES"/>
        </w:rPr>
        <w:t xml:space="preserve"> por escrito y en un plazo razonable [STC 1042-2002-AA/TC, fundamento 2.2.4.].</w:t>
      </w:r>
      <w:r w:rsidRPr="006B6BCA">
        <w:rPr>
          <w:rFonts w:ascii="Times New Roman" w:eastAsia="Times New Roman" w:hAnsi="Times New Roman" w:cs="Times New Roman"/>
          <w:sz w:val="24"/>
          <w:szCs w:val="24"/>
          <w:lang w:val="es-MX" w:eastAsia="es-ES"/>
        </w:rPr>
        <w:t xml:space="preserve"> Por consiguiente, es claro que la sola omisión de contestar solicitudes de acceso a la información constituye ya una vulneración a tal derecho.</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0"/>
        <w:rPr>
          <w:rFonts w:ascii="Times New Roman" w:eastAsia="Times New Roman" w:hAnsi="Times New Roman" w:cs="Times New Roman"/>
          <w:b/>
          <w:bCs/>
          <w:sz w:val="24"/>
          <w:szCs w:val="24"/>
          <w:lang w:val="es-ES" w:eastAsia="es-ES"/>
        </w:rPr>
      </w:pPr>
      <w:r w:rsidRPr="006B6BCA">
        <w:rPr>
          <w:rFonts w:ascii="Times New Roman" w:eastAsia="Times New Roman" w:hAnsi="Times New Roman" w:cs="Times New Roman"/>
          <w:b/>
          <w:bCs/>
          <w:sz w:val="24"/>
          <w:szCs w:val="24"/>
          <w:lang w:val="es-ES" w:eastAsia="es-ES"/>
        </w:rPr>
        <w:t xml:space="preserve">Información que no puede ser entregada </w:t>
      </w:r>
    </w:p>
    <w:p w:rsidR="006B6BCA" w:rsidRPr="006B6BCA" w:rsidRDefault="006B6BCA" w:rsidP="006B6BCA">
      <w:pPr>
        <w:ind w:left="0" w:firstLine="0"/>
        <w:rPr>
          <w:rFonts w:ascii="Times New Roman" w:eastAsia="Times New Roman" w:hAnsi="Times New Roman" w:cs="Times New Roman"/>
          <w:sz w:val="20"/>
          <w:szCs w:val="20"/>
          <w:lang w:val="es-ES" w:eastAsia="es-ES"/>
        </w:rPr>
      </w:pP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8.</w:t>
      </w:r>
      <w:r w:rsidRPr="006B6BCA">
        <w:rPr>
          <w:rFonts w:ascii="Times New Roman" w:eastAsia="Times New Roman" w:hAnsi="Times New Roman" w:cs="Times New Roman"/>
          <w:sz w:val="14"/>
          <w:szCs w:val="14"/>
          <w:lang w:val="es-ES" w:eastAsia="es-ES"/>
        </w:rPr>
        <w:t xml:space="preserve">      </w:t>
      </w:r>
      <w:r w:rsidRPr="006B6BCA">
        <w:rPr>
          <w:rFonts w:ascii="Times New Roman" w:eastAsia="Times New Roman" w:hAnsi="Times New Roman" w:cs="Times New Roman"/>
          <w:sz w:val="24"/>
          <w:szCs w:val="24"/>
          <w:lang w:val="es-ES" w:eastAsia="es-ES"/>
        </w:rPr>
        <w:t xml:space="preserve">El artículo 2º inciso 5) de </w:t>
      </w:r>
      <w:smartTag w:uri="urn:schemas-microsoft-com:office:smarttags" w:element="PersonName">
        <w:smartTagPr>
          <w:attr w:name="ProductID" w:val="la Constitución"/>
        </w:smartTagPr>
        <w:r w:rsidRPr="006B6BCA">
          <w:rPr>
            <w:rFonts w:ascii="Times New Roman" w:eastAsia="Times New Roman" w:hAnsi="Times New Roman" w:cs="Times New Roman"/>
            <w:sz w:val="24"/>
            <w:szCs w:val="24"/>
            <w:lang w:val="es-ES" w:eastAsia="es-ES"/>
          </w:rPr>
          <w:t>la Constitución</w:t>
        </w:r>
      </w:smartTag>
      <w:r w:rsidRPr="006B6BCA">
        <w:rPr>
          <w:rFonts w:ascii="Times New Roman" w:eastAsia="Times New Roman" w:hAnsi="Times New Roman" w:cs="Times New Roman"/>
          <w:sz w:val="24"/>
          <w:szCs w:val="24"/>
          <w:lang w:val="es-ES" w:eastAsia="es-ES"/>
        </w:rPr>
        <w:t xml:space="preserve"> establece expresamente que toda persona tiene derecho </w:t>
      </w:r>
      <w:r w:rsidRPr="006B6BCA">
        <w:rPr>
          <w:rFonts w:ascii="Times New Roman" w:eastAsia="Times New Roman" w:hAnsi="Times New Roman" w:cs="Times New Roman"/>
          <w:i/>
          <w:iCs/>
          <w:sz w:val="24"/>
          <w:szCs w:val="24"/>
          <w:lang w:val="es-ES" w:eastAsia="es-ES"/>
        </w:rPr>
        <w:t>“A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w:t>
      </w:r>
      <w:r w:rsidRPr="006B6BCA">
        <w:rPr>
          <w:rFonts w:ascii="Times New Roman" w:eastAsia="Times New Roman" w:hAnsi="Times New Roman" w:cs="Times New Roman"/>
          <w:sz w:val="24"/>
          <w:szCs w:val="24"/>
          <w:lang w:val="es-ES" w:eastAsia="es-ES"/>
        </w:rPr>
        <w:t>.</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9.</w:t>
      </w:r>
      <w:r w:rsidRPr="006B6BCA">
        <w:rPr>
          <w:rFonts w:ascii="Times New Roman" w:eastAsia="Times New Roman" w:hAnsi="Times New Roman" w:cs="Times New Roman"/>
          <w:sz w:val="14"/>
          <w:szCs w:val="14"/>
          <w:lang w:val="es-ES" w:eastAsia="es-ES"/>
        </w:rPr>
        <w:t xml:space="preserve">      </w:t>
      </w:r>
      <w:smartTag w:uri="urn:schemas-microsoft-com:office:smarttags" w:element="PersonName">
        <w:smartTagPr>
          <w:attr w:name="ProductID" w:val="la Ley N.º"/>
        </w:smartTagPr>
        <w:r w:rsidRPr="006B6BCA">
          <w:rPr>
            <w:rFonts w:ascii="Times New Roman" w:eastAsia="Times New Roman" w:hAnsi="Times New Roman" w:cs="Times New Roman"/>
            <w:sz w:val="24"/>
            <w:szCs w:val="24"/>
            <w:lang w:val="es-ES" w:eastAsia="es-ES"/>
          </w:rPr>
          <w:t>La Ley N</w:t>
        </w:r>
        <w:proofErr w:type="gramStart"/>
        <w:r w:rsidRPr="006B6BCA">
          <w:rPr>
            <w:rFonts w:ascii="Times New Roman" w:eastAsia="Times New Roman" w:hAnsi="Times New Roman" w:cs="Times New Roman"/>
            <w:sz w:val="24"/>
            <w:szCs w:val="24"/>
            <w:lang w:val="es-ES" w:eastAsia="es-ES"/>
          </w:rPr>
          <w:t>.º</w:t>
        </w:r>
      </w:smartTag>
      <w:proofErr w:type="gramEnd"/>
      <w:r w:rsidRPr="006B6BCA">
        <w:rPr>
          <w:rFonts w:ascii="Times New Roman" w:eastAsia="Times New Roman" w:hAnsi="Times New Roman" w:cs="Times New Roman"/>
          <w:sz w:val="24"/>
          <w:szCs w:val="24"/>
          <w:lang w:val="es-ES" w:eastAsia="es-ES"/>
        </w:rPr>
        <w:t xml:space="preserve"> 27806, Ley de Transparencia y Acceso a </w:t>
      </w:r>
      <w:smartTag w:uri="urn:schemas-microsoft-com:office:smarttags" w:element="PersonName">
        <w:smartTagPr>
          <w:attr w:name="ProductID" w:val="la Información Pública"/>
        </w:smartTagPr>
        <w:r w:rsidRPr="006B6BCA">
          <w:rPr>
            <w:rFonts w:ascii="Times New Roman" w:eastAsia="Times New Roman" w:hAnsi="Times New Roman" w:cs="Times New Roman"/>
            <w:sz w:val="24"/>
            <w:szCs w:val="24"/>
            <w:lang w:val="es-ES" w:eastAsia="es-ES"/>
          </w:rPr>
          <w:t>la Información Pública</w:t>
        </w:r>
      </w:smartTag>
      <w:r w:rsidRPr="006B6BCA">
        <w:rPr>
          <w:rFonts w:ascii="Times New Roman" w:eastAsia="Times New Roman" w:hAnsi="Times New Roman" w:cs="Times New Roman"/>
          <w:sz w:val="24"/>
          <w:szCs w:val="24"/>
          <w:lang w:val="es-ES" w:eastAsia="es-ES"/>
        </w:rPr>
        <w:t xml:space="preserve">, en su artículo 15-Bº precisa como excepción al ejercicio del derecho a la información la de naturaleza confidencial, precisando en el inciso 5) de la misma que </w:t>
      </w:r>
      <w:r w:rsidRPr="006B6BCA">
        <w:rPr>
          <w:rFonts w:ascii="Times New Roman" w:eastAsia="Times New Roman" w:hAnsi="Times New Roman" w:cs="Times New Roman"/>
          <w:i/>
          <w:iCs/>
          <w:sz w:val="24"/>
          <w:szCs w:val="24"/>
          <w:lang w:val="es-ES" w:eastAsia="es-ES"/>
        </w:rPr>
        <w:t xml:space="preserve">“La información referida a los datos personales cuya publicidad constituya una invasión de la intimidad personal y familiar. La información referida a la salud personal, se considera comprendida dentro de la intimidad personal. En este caso, sólo el juez puede ordenar la publicación sin perjuicio de lo establecido en el inciso 5 del artículo 2 de </w:t>
      </w:r>
      <w:smartTag w:uri="urn:schemas-microsoft-com:office:smarttags" w:element="PersonName">
        <w:smartTagPr>
          <w:attr w:name="ProductID" w:val="la Constitución Política"/>
        </w:smartTagPr>
        <w:r w:rsidRPr="006B6BCA">
          <w:rPr>
            <w:rFonts w:ascii="Times New Roman" w:eastAsia="Times New Roman" w:hAnsi="Times New Roman" w:cs="Times New Roman"/>
            <w:i/>
            <w:iCs/>
            <w:sz w:val="24"/>
            <w:szCs w:val="24"/>
            <w:lang w:val="es-ES" w:eastAsia="es-ES"/>
          </w:rPr>
          <w:t>la Constitución Política</w:t>
        </w:r>
      </w:smartTag>
      <w:r w:rsidRPr="006B6BCA">
        <w:rPr>
          <w:rFonts w:ascii="Times New Roman" w:eastAsia="Times New Roman" w:hAnsi="Times New Roman" w:cs="Times New Roman"/>
          <w:i/>
          <w:iCs/>
          <w:sz w:val="24"/>
          <w:szCs w:val="24"/>
          <w:lang w:val="es-ES" w:eastAsia="es-ES"/>
        </w:rPr>
        <w:t xml:space="preserve"> del Estado”.</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lastRenderedPageBreak/>
        <w:t>10.</w:t>
      </w:r>
      <w:r w:rsidRPr="006B6BCA">
        <w:rPr>
          <w:rFonts w:ascii="Times New Roman" w:eastAsia="Times New Roman" w:hAnsi="Times New Roman" w:cs="Times New Roman"/>
          <w:sz w:val="14"/>
          <w:szCs w:val="14"/>
          <w:lang w:val="es-ES" w:eastAsia="es-ES"/>
        </w:rPr>
        <w:t xml:space="preserve">  </w:t>
      </w:r>
      <w:r w:rsidRPr="006B6BCA">
        <w:rPr>
          <w:rFonts w:ascii="Times New Roman" w:eastAsia="Times New Roman" w:hAnsi="Times New Roman" w:cs="Times New Roman"/>
          <w:sz w:val="24"/>
          <w:szCs w:val="24"/>
          <w:lang w:val="es-ES" w:eastAsia="es-ES"/>
        </w:rPr>
        <w:t xml:space="preserve">De otro lado, y en lo que corresponde a </w:t>
      </w:r>
      <w:smartTag w:uri="urn:schemas-microsoft-com:office:smarttags" w:element="PersonName">
        <w:smartTagPr>
          <w:attr w:name="ProductID" w:val="la Ley N.º"/>
        </w:smartTagPr>
        <w:r w:rsidRPr="006B6BCA">
          <w:rPr>
            <w:rFonts w:ascii="Times New Roman" w:eastAsia="Times New Roman" w:hAnsi="Times New Roman" w:cs="Times New Roman"/>
            <w:sz w:val="24"/>
            <w:szCs w:val="24"/>
            <w:lang w:val="es-ES" w:eastAsia="es-ES"/>
          </w:rPr>
          <w:t>la Ley N</w:t>
        </w:r>
        <w:proofErr w:type="gramStart"/>
        <w:r w:rsidRPr="006B6BCA">
          <w:rPr>
            <w:rFonts w:ascii="Times New Roman" w:eastAsia="Times New Roman" w:hAnsi="Times New Roman" w:cs="Times New Roman"/>
            <w:sz w:val="24"/>
            <w:szCs w:val="24"/>
            <w:lang w:val="es-ES" w:eastAsia="es-ES"/>
          </w:rPr>
          <w:t>.º</w:t>
        </w:r>
      </w:smartTag>
      <w:proofErr w:type="gramEnd"/>
      <w:r w:rsidRPr="006B6BCA">
        <w:rPr>
          <w:rFonts w:ascii="Times New Roman" w:eastAsia="Times New Roman" w:hAnsi="Times New Roman" w:cs="Times New Roman"/>
          <w:sz w:val="24"/>
          <w:szCs w:val="24"/>
          <w:lang w:val="es-ES" w:eastAsia="es-ES"/>
        </w:rPr>
        <w:t xml:space="preserve"> 26842, Ley General de Salud, su artículo 25º expone que </w:t>
      </w:r>
      <w:r w:rsidRPr="006B6BCA">
        <w:rPr>
          <w:rFonts w:ascii="Times New Roman" w:eastAsia="Times New Roman" w:hAnsi="Times New Roman" w:cs="Times New Roman"/>
          <w:i/>
          <w:iCs/>
          <w:sz w:val="24"/>
          <w:szCs w:val="24"/>
          <w:lang w:val="es-ES" w:eastAsia="es-ES"/>
        </w:rPr>
        <w:t>“Toda información relativa al acto médico que se realiza, tiene carácter reservado”</w:t>
      </w:r>
      <w:r w:rsidRPr="006B6BCA">
        <w:rPr>
          <w:rFonts w:ascii="Times New Roman" w:eastAsia="Times New Roman" w:hAnsi="Times New Roman" w:cs="Times New Roman"/>
          <w:sz w:val="24"/>
          <w:szCs w:val="24"/>
          <w:lang w:val="es-ES" w:eastAsia="es-ES"/>
        </w:rPr>
        <w:t>, regulando dicho dispositivo las excepciones a dicha reserva.</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0"/>
        <w:rPr>
          <w:rFonts w:ascii="Times New Roman" w:eastAsia="Times New Roman" w:hAnsi="Times New Roman" w:cs="Times New Roman"/>
          <w:b/>
          <w:bCs/>
          <w:sz w:val="24"/>
          <w:szCs w:val="24"/>
          <w:lang w:val="es-ES" w:eastAsia="es-ES"/>
        </w:rPr>
      </w:pPr>
      <w:r w:rsidRPr="006B6BCA">
        <w:rPr>
          <w:rFonts w:ascii="Times New Roman" w:eastAsia="Times New Roman" w:hAnsi="Times New Roman" w:cs="Times New Roman"/>
          <w:b/>
          <w:bCs/>
          <w:sz w:val="24"/>
          <w:szCs w:val="24"/>
          <w:lang w:val="es-ES" w:eastAsia="es-ES"/>
        </w:rPr>
        <w:t>Análisis del caso</w:t>
      </w:r>
    </w:p>
    <w:p w:rsidR="006B6BCA" w:rsidRPr="006B6BCA" w:rsidRDefault="006B6BCA" w:rsidP="006B6BCA">
      <w:pPr>
        <w:ind w:left="0" w:firstLine="0"/>
        <w:rPr>
          <w:rFonts w:ascii="Times New Roman" w:eastAsia="Times New Roman" w:hAnsi="Times New Roman" w:cs="Times New Roman"/>
          <w:sz w:val="20"/>
          <w:szCs w:val="20"/>
          <w:lang w:val="es-ES" w:eastAsia="es-ES"/>
        </w:rPr>
      </w:pP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11.</w:t>
      </w:r>
      <w:r w:rsidRPr="006B6BCA">
        <w:rPr>
          <w:rFonts w:ascii="Times New Roman" w:eastAsia="Times New Roman" w:hAnsi="Times New Roman" w:cs="Times New Roman"/>
          <w:sz w:val="14"/>
          <w:szCs w:val="14"/>
          <w:lang w:val="es-ES" w:eastAsia="es-ES"/>
        </w:rPr>
        <w:t xml:space="preserve">  </w:t>
      </w:r>
      <w:r w:rsidRPr="006B6BCA">
        <w:rPr>
          <w:rFonts w:ascii="Times New Roman" w:eastAsia="Times New Roman" w:hAnsi="Times New Roman" w:cs="Times New Roman"/>
          <w:sz w:val="24"/>
          <w:szCs w:val="24"/>
          <w:lang w:val="es-ES" w:eastAsia="es-ES"/>
        </w:rPr>
        <w:t>En el caso de autos, que, la información que se requiere no solo está referida a un acto médico, sino además, se encuentra vinculada a la intimidad de una persona; en consecuencia, la demanda debe ser desestimada.</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360" w:hanging="36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12.</w:t>
      </w:r>
      <w:r w:rsidRPr="006B6BCA">
        <w:rPr>
          <w:rFonts w:ascii="Times New Roman" w:eastAsia="Times New Roman" w:hAnsi="Times New Roman" w:cs="Times New Roman"/>
          <w:sz w:val="14"/>
          <w:szCs w:val="14"/>
          <w:lang w:val="es-ES" w:eastAsia="es-ES"/>
        </w:rPr>
        <w:t xml:space="preserve">  </w:t>
      </w:r>
      <w:r w:rsidRPr="006B6BCA">
        <w:rPr>
          <w:rFonts w:ascii="Times New Roman" w:eastAsia="Times New Roman" w:hAnsi="Times New Roman" w:cs="Times New Roman"/>
          <w:sz w:val="24"/>
          <w:szCs w:val="24"/>
          <w:lang w:val="es-ES" w:eastAsia="es-ES"/>
        </w:rPr>
        <w:t xml:space="preserve">En todo caso, de existir un proceso judicial relacionado con los hechos narrados por el demandante, vinculados con el fallecimiento de su hijo, corresponde que esta información sea requerida por el juez competente, mediante resolución debidamente motivada, si es que </w:t>
      </w:r>
      <w:proofErr w:type="spellStart"/>
      <w:r w:rsidRPr="006B6BCA">
        <w:rPr>
          <w:rFonts w:ascii="Times New Roman" w:eastAsia="Times New Roman" w:hAnsi="Times New Roman" w:cs="Times New Roman"/>
          <w:sz w:val="24"/>
          <w:szCs w:val="24"/>
          <w:lang w:val="es-ES" w:eastAsia="es-ES"/>
        </w:rPr>
        <w:t>aquel la</w:t>
      </w:r>
      <w:proofErr w:type="spellEnd"/>
      <w:r w:rsidRPr="006B6BCA">
        <w:rPr>
          <w:rFonts w:ascii="Times New Roman" w:eastAsia="Times New Roman" w:hAnsi="Times New Roman" w:cs="Times New Roman"/>
          <w:sz w:val="24"/>
          <w:szCs w:val="24"/>
          <w:lang w:val="es-ES" w:eastAsia="es-ES"/>
        </w:rPr>
        <w:t xml:space="preserve"> considera pertinente.</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0"/>
        <w:rPr>
          <w:rFonts w:ascii="Times New Roman" w:eastAsia="Times New Roman" w:hAnsi="Times New Roman" w:cs="Times New Roman"/>
          <w:sz w:val="24"/>
          <w:szCs w:val="24"/>
          <w:lang w:val="es-ES" w:eastAsia="es-ES"/>
        </w:rPr>
      </w:pPr>
      <w:r w:rsidRPr="006B6BCA">
        <w:rPr>
          <w:rFonts w:ascii="Times New Roman" w:eastAsia="Times New Roman" w:hAnsi="Times New Roman" w:cs="Times New Roman"/>
          <w:sz w:val="24"/>
          <w:szCs w:val="24"/>
          <w:lang w:val="es-ES"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6B6BCA">
          <w:rPr>
            <w:rFonts w:ascii="Times New Roman" w:eastAsia="Times New Roman" w:hAnsi="Times New Roman" w:cs="Times New Roman"/>
            <w:sz w:val="24"/>
            <w:szCs w:val="24"/>
            <w:lang w:val="es-ES" w:eastAsia="es-ES"/>
          </w:rPr>
          <w:t>la Constitución Política</w:t>
        </w:r>
      </w:smartTag>
      <w:r w:rsidRPr="006B6BCA">
        <w:rPr>
          <w:rFonts w:ascii="Times New Roman" w:eastAsia="Times New Roman" w:hAnsi="Times New Roman" w:cs="Times New Roman"/>
          <w:sz w:val="24"/>
          <w:szCs w:val="24"/>
          <w:lang w:val="es-ES" w:eastAsia="es-ES"/>
        </w:rPr>
        <w:t xml:space="preserve"> del Perú</w:t>
      </w:r>
    </w:p>
    <w:p w:rsidR="006B6BCA" w:rsidRPr="006B6BCA" w:rsidRDefault="006B6BCA" w:rsidP="006B6BCA">
      <w:pPr>
        <w:ind w:left="36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0"/>
        <w:jc w:val="center"/>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b/>
          <w:bCs/>
          <w:sz w:val="24"/>
          <w:szCs w:val="24"/>
          <w:lang w:val="es-ES" w:eastAsia="es-ES"/>
        </w:rPr>
        <w:t>HA RESUELTO</w:t>
      </w:r>
    </w:p>
    <w:p w:rsidR="006B6BCA" w:rsidRPr="006B6BCA" w:rsidRDefault="006B6BCA" w:rsidP="006B6BCA">
      <w:pPr>
        <w:ind w:left="36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xml:space="preserve">Declarar </w:t>
      </w:r>
      <w:r w:rsidRPr="006B6BCA">
        <w:rPr>
          <w:rFonts w:ascii="Times New Roman" w:eastAsia="Times New Roman" w:hAnsi="Times New Roman" w:cs="Times New Roman"/>
          <w:b/>
          <w:bCs/>
          <w:sz w:val="24"/>
          <w:szCs w:val="24"/>
          <w:lang w:val="es-ES" w:eastAsia="es-ES"/>
        </w:rPr>
        <w:t xml:space="preserve">INFUNDADA </w:t>
      </w:r>
      <w:r w:rsidRPr="006B6BCA">
        <w:rPr>
          <w:rFonts w:ascii="Times New Roman" w:eastAsia="Times New Roman" w:hAnsi="Times New Roman" w:cs="Times New Roman"/>
          <w:sz w:val="24"/>
          <w:szCs w:val="24"/>
          <w:lang w:val="es-ES" w:eastAsia="es-ES"/>
        </w:rPr>
        <w:t>la demanda de autos.</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Publíquese y notifíquese.</w:t>
      </w:r>
    </w:p>
    <w:p w:rsidR="006B6BCA" w:rsidRPr="006B6BCA" w:rsidRDefault="006B6BCA" w:rsidP="006B6BCA">
      <w:pPr>
        <w:ind w:left="360" w:firstLine="0"/>
        <w:rPr>
          <w:rFonts w:ascii="Times New Roman" w:eastAsia="Times New Roman" w:hAnsi="Times New Roman" w:cs="Times New Roman"/>
          <w:sz w:val="24"/>
          <w:szCs w:val="24"/>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360" w:firstLine="0"/>
        <w:rPr>
          <w:rFonts w:ascii="Times New Roman" w:eastAsia="Times New Roman" w:hAnsi="Times New Roman" w:cs="Times New Roman"/>
          <w:sz w:val="20"/>
          <w:szCs w:val="20"/>
          <w:lang w:val="es-ES" w:eastAsia="es-ES"/>
        </w:rPr>
      </w:pP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SS.</w:t>
      </w:r>
    </w:p>
    <w:p w:rsidR="006B6BCA" w:rsidRPr="006B6BCA" w:rsidRDefault="006B6BCA" w:rsidP="006B6BCA">
      <w:pPr>
        <w:ind w:left="0" w:firstLine="0"/>
        <w:rPr>
          <w:rFonts w:ascii="Times New Roman" w:eastAsia="Times New Roman" w:hAnsi="Times New Roman" w:cs="Times New Roman"/>
          <w:sz w:val="20"/>
          <w:szCs w:val="20"/>
          <w:lang w:val="es-ES" w:eastAsia="es-ES"/>
        </w:rPr>
      </w:pPr>
      <w:r w:rsidRPr="006B6BCA">
        <w:rPr>
          <w:rFonts w:ascii="Times New Roman" w:eastAsia="Times New Roman" w:hAnsi="Times New Roman" w:cs="Times New Roman"/>
          <w:sz w:val="24"/>
          <w:szCs w:val="24"/>
          <w:lang w:val="es-ES" w:eastAsia="es-ES"/>
        </w:rPr>
        <w:t> </w:t>
      </w:r>
    </w:p>
    <w:p w:rsidR="006B6BCA" w:rsidRPr="006B6BCA" w:rsidRDefault="006B6BCA" w:rsidP="006B6BCA">
      <w:pPr>
        <w:ind w:left="0" w:firstLine="0"/>
        <w:rPr>
          <w:rFonts w:ascii="Times New Roman" w:eastAsia="Times New Roman" w:hAnsi="Times New Roman" w:cs="Times New Roman"/>
          <w:sz w:val="24"/>
          <w:szCs w:val="24"/>
          <w:lang w:val="es-ES" w:eastAsia="es-ES"/>
        </w:rPr>
      </w:pPr>
      <w:r w:rsidRPr="006B6BCA">
        <w:rPr>
          <w:rFonts w:ascii="Times New Roman" w:eastAsia="Times New Roman" w:hAnsi="Times New Roman" w:cs="Times New Roman"/>
          <w:b/>
          <w:bCs/>
          <w:sz w:val="24"/>
          <w:szCs w:val="24"/>
          <w:lang w:val="es-ES" w:eastAsia="es-ES"/>
        </w:rPr>
        <w:t>MESÍA RAMÍREZ</w:t>
      </w:r>
    </w:p>
    <w:p w:rsidR="006B6BCA" w:rsidRPr="006B6BCA" w:rsidRDefault="006B6BCA" w:rsidP="006B6BCA">
      <w:pPr>
        <w:ind w:left="0" w:firstLine="0"/>
        <w:rPr>
          <w:rFonts w:ascii="Times New Roman" w:eastAsia="Times New Roman" w:hAnsi="Times New Roman" w:cs="Times New Roman"/>
          <w:sz w:val="24"/>
          <w:szCs w:val="24"/>
          <w:lang w:val="es-ES" w:eastAsia="es-ES"/>
        </w:rPr>
      </w:pPr>
      <w:r w:rsidRPr="006B6BCA">
        <w:rPr>
          <w:rFonts w:ascii="Times New Roman" w:eastAsia="Times New Roman" w:hAnsi="Times New Roman" w:cs="Times New Roman"/>
          <w:b/>
          <w:bCs/>
          <w:sz w:val="24"/>
          <w:szCs w:val="24"/>
          <w:lang w:val="es-ES" w:eastAsia="es-ES"/>
        </w:rPr>
        <w:t>BEAUMONT CALLIRGOS</w:t>
      </w:r>
    </w:p>
    <w:p w:rsidR="006B6BCA" w:rsidRPr="006B6BCA" w:rsidRDefault="006B6BCA" w:rsidP="006B6BCA">
      <w:pPr>
        <w:ind w:left="0" w:firstLine="0"/>
        <w:rPr>
          <w:rFonts w:ascii="Times New Roman" w:eastAsia="Times New Roman" w:hAnsi="Times New Roman" w:cs="Times New Roman"/>
          <w:sz w:val="24"/>
          <w:szCs w:val="24"/>
          <w:lang w:val="es-ES" w:eastAsia="es-ES"/>
        </w:rPr>
      </w:pPr>
      <w:r w:rsidRPr="006B6BCA">
        <w:rPr>
          <w:rFonts w:ascii="Times New Roman" w:eastAsia="Times New Roman" w:hAnsi="Times New Roman" w:cs="Times New Roman"/>
          <w:b/>
          <w:bCs/>
          <w:sz w:val="24"/>
          <w:szCs w:val="24"/>
          <w:lang w:val="es-ES" w:eastAsia="es-ES"/>
        </w:rPr>
        <w:t>ETO CRUZ</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6B6BCA"/>
    <w:rsid w:val="00063A9D"/>
    <w:rsid w:val="00146A8F"/>
    <w:rsid w:val="00253CBF"/>
    <w:rsid w:val="004432C1"/>
    <w:rsid w:val="00622AAC"/>
    <w:rsid w:val="00657103"/>
    <w:rsid w:val="006B6BCA"/>
    <w:rsid w:val="008D645C"/>
    <w:rsid w:val="00A41DC0"/>
    <w:rsid w:val="00AF1172"/>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6B6BCA"/>
    <w:pPr>
      <w:keepNext/>
      <w:ind w:left="0" w:firstLine="0"/>
      <w:outlineLvl w:val="0"/>
    </w:pPr>
    <w:rPr>
      <w:rFonts w:ascii="Times New Roman" w:eastAsia="Times New Roman" w:hAnsi="Times New Roman" w:cs="Times New Roman"/>
      <w:kern w:val="36"/>
      <w:sz w:val="24"/>
      <w:szCs w:val="24"/>
      <w:lang w:val="es-ES" w:eastAsia="es-ES"/>
    </w:rPr>
  </w:style>
  <w:style w:type="paragraph" w:styleId="Ttulo2">
    <w:name w:val="heading 2"/>
    <w:basedOn w:val="Normal"/>
    <w:link w:val="Ttulo2Car"/>
    <w:uiPriority w:val="9"/>
    <w:qFormat/>
    <w:rsid w:val="006B6BCA"/>
    <w:pPr>
      <w:keepNext/>
      <w:ind w:left="0" w:firstLine="0"/>
      <w:jc w:val="left"/>
      <w:outlineLvl w:val="1"/>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6BCA"/>
    <w:rPr>
      <w:rFonts w:ascii="Times New Roman" w:eastAsia="Times New Roman" w:hAnsi="Times New Roman" w:cs="Times New Roman"/>
      <w:kern w:val="36"/>
      <w:sz w:val="24"/>
      <w:szCs w:val="24"/>
      <w:lang w:eastAsia="es-ES"/>
    </w:rPr>
  </w:style>
  <w:style w:type="character" w:customStyle="1" w:styleId="Ttulo2Car">
    <w:name w:val="Título 2 Car"/>
    <w:basedOn w:val="Fuentedeprrafopredeter"/>
    <w:link w:val="Ttulo2"/>
    <w:uiPriority w:val="9"/>
    <w:rsid w:val="006B6BCA"/>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uiPriority w:val="99"/>
    <w:semiHidden/>
    <w:unhideWhenUsed/>
    <w:rsid w:val="006B6BCA"/>
    <w:pPr>
      <w:ind w:left="0" w:firstLine="709"/>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6B6BCA"/>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6B6BCA"/>
    <w:pPr>
      <w:ind w:left="0" w:firstLine="360"/>
    </w:pPr>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uiPriority w:val="99"/>
    <w:semiHidden/>
    <w:rsid w:val="006B6BCA"/>
    <w:rPr>
      <w:rFonts w:ascii="Times New Roman" w:eastAsia="Times New Roman" w:hAnsi="Times New Roman" w:cs="Times New Roman"/>
      <w:sz w:val="24"/>
      <w:szCs w:val="24"/>
      <w:lang w:eastAsia="es-ES"/>
    </w:rPr>
  </w:style>
  <w:style w:type="paragraph" w:customStyle="1" w:styleId="h2">
    <w:name w:val="h2"/>
    <w:basedOn w:val="Normal"/>
    <w:rsid w:val="006B6BCA"/>
    <w:pPr>
      <w:keepNext/>
      <w:snapToGrid w:val="0"/>
      <w:spacing w:before="100" w:after="100"/>
      <w:ind w:left="0" w:firstLine="0"/>
      <w:jc w:val="left"/>
    </w:pPr>
    <w:rPr>
      <w:rFonts w:ascii="Times New Roman" w:eastAsia="Times New Roman" w:hAnsi="Times New Roman" w:cs="Times New Roman"/>
      <w:b/>
      <w:bCs/>
      <w:sz w:val="36"/>
      <w:szCs w:val="36"/>
      <w:lang w:val="es-ES" w:eastAsia="es-ES"/>
    </w:rPr>
  </w:style>
</w:styles>
</file>

<file path=word/webSettings.xml><?xml version="1.0" encoding="utf-8"?>
<w:webSettings xmlns:r="http://schemas.openxmlformats.org/officeDocument/2006/relationships" xmlns:w="http://schemas.openxmlformats.org/wordprocessingml/2006/main">
  <w:divs>
    <w:div w:id="69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7DDCCD77-8FFB-45ED-9FE2-13D60337924F}"/>
</file>

<file path=customXml/itemProps2.xml><?xml version="1.0" encoding="utf-8"?>
<ds:datastoreItem xmlns:ds="http://schemas.openxmlformats.org/officeDocument/2006/customXml" ds:itemID="{6ABEA511-72CF-478E-905A-E7B581EBE93A}"/>
</file>

<file path=customXml/itemProps3.xml><?xml version="1.0" encoding="utf-8"?>
<ds:datastoreItem xmlns:ds="http://schemas.openxmlformats.org/officeDocument/2006/customXml" ds:itemID="{61029993-E69E-43A5-8FCC-E0067323B3C3}"/>
</file>

<file path=docProps/app.xml><?xml version="1.0" encoding="utf-8"?>
<Properties xmlns="http://schemas.openxmlformats.org/officeDocument/2006/extended-properties" xmlns:vt="http://schemas.openxmlformats.org/officeDocument/2006/docPropsVTypes">
  <Template>Normal</Template>
  <TotalTime>0</TotalTime>
  <Pages>1</Pages>
  <Words>1332</Words>
  <Characters>7331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04159-2009-PHD-TC</dc:title>
  <dc:subject/>
  <dc:creator>jmaganr</dc:creator>
  <cp:keywords>Perú</cp:keywords>
  <dc:description/>
  <cp:lastModifiedBy>jmaganr</cp:lastModifiedBy>
  <cp:revision>2</cp:revision>
  <dcterms:created xsi:type="dcterms:W3CDTF">2014-01-31T23:25:00Z</dcterms:created>
  <dcterms:modified xsi:type="dcterms:W3CDTF">2014-01-31T23:25:00Z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