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A55" w:rsidRPr="00CB2A55" w:rsidRDefault="00CB2A55" w:rsidP="00CB2A55">
      <w:pPr>
        <w:widowControl w:val="0"/>
        <w:suppressAutoHyphens/>
        <w:ind w:left="0" w:firstLine="0"/>
        <w:rPr>
          <w:rFonts w:ascii="Times New Roman" w:eastAsia="Tahoma" w:hAnsi="Times New Roman" w:cs="Times New Roman"/>
          <w:b/>
          <w:sz w:val="18"/>
          <w:szCs w:val="18"/>
          <w:lang w:val="es-ES_tradnl" w:eastAsia="es-ES"/>
        </w:rPr>
      </w:pPr>
      <w:r w:rsidRPr="00CB2A55">
        <w:rPr>
          <w:rFonts w:ascii="Times New Roman" w:eastAsia="Tahoma" w:hAnsi="Times New Roman" w:cs="Times New Roman"/>
          <w:b/>
          <w:sz w:val="18"/>
          <w:szCs w:val="18"/>
          <w:lang w:val="es-ES_tradnl" w:eastAsia="es-ES"/>
        </w:rPr>
        <w:t xml:space="preserve">EXP. N.° </w:t>
      </w:r>
      <w:r w:rsidRPr="00CB2A55">
        <w:rPr>
          <w:rFonts w:ascii="Times New Roman" w:eastAsia="Tahoma" w:hAnsi="Times New Roman" w:cs="Times New Roman"/>
          <w:b/>
          <w:noProof/>
          <w:sz w:val="18"/>
          <w:szCs w:val="18"/>
          <w:lang w:val="es-ES_tradnl" w:eastAsia="es-ES"/>
        </w:rPr>
        <w:t>03710</w:t>
      </w:r>
      <w:r w:rsidRPr="00CB2A55">
        <w:rPr>
          <w:rFonts w:ascii="Times New Roman" w:eastAsia="Tahoma" w:hAnsi="Times New Roman" w:cs="Times New Roman"/>
          <w:b/>
          <w:sz w:val="18"/>
          <w:szCs w:val="18"/>
          <w:lang w:val="es-ES_tradnl" w:eastAsia="es-ES"/>
        </w:rPr>
        <w:t>-</w:t>
      </w:r>
      <w:r w:rsidRPr="00CB2A55">
        <w:rPr>
          <w:rFonts w:ascii="Times New Roman" w:eastAsia="Tahoma" w:hAnsi="Times New Roman" w:cs="Times New Roman"/>
          <w:b/>
          <w:noProof/>
          <w:sz w:val="18"/>
          <w:szCs w:val="18"/>
          <w:lang w:val="es-ES_tradnl" w:eastAsia="es-ES"/>
        </w:rPr>
        <w:t>2010</w:t>
      </w:r>
      <w:r w:rsidRPr="00CB2A55">
        <w:rPr>
          <w:rFonts w:ascii="Times New Roman" w:eastAsia="Tahoma" w:hAnsi="Times New Roman" w:cs="Times New Roman"/>
          <w:b/>
          <w:sz w:val="18"/>
          <w:szCs w:val="18"/>
          <w:lang w:val="es-ES_tradnl" w:eastAsia="es-ES"/>
        </w:rPr>
        <w:t>-</w:t>
      </w:r>
      <w:r w:rsidRPr="00CB2A55">
        <w:rPr>
          <w:rFonts w:ascii="Times New Roman" w:eastAsia="Tahoma" w:hAnsi="Times New Roman" w:cs="Times New Roman"/>
          <w:b/>
          <w:noProof/>
          <w:sz w:val="18"/>
          <w:szCs w:val="18"/>
          <w:lang w:val="es-ES_tradnl" w:eastAsia="es-ES"/>
        </w:rPr>
        <w:t>PHD</w:t>
      </w:r>
      <w:r w:rsidRPr="00CB2A55">
        <w:rPr>
          <w:rFonts w:ascii="Times New Roman" w:eastAsia="Tahoma" w:hAnsi="Times New Roman" w:cs="Times New Roman"/>
          <w:b/>
          <w:sz w:val="18"/>
          <w:szCs w:val="18"/>
          <w:lang w:val="es-ES_tradnl" w:eastAsia="es-ES"/>
        </w:rPr>
        <w:t>/TC</w:t>
      </w:r>
    </w:p>
    <w:p w:rsidR="00CB2A55" w:rsidRPr="00CB2A55" w:rsidRDefault="00CB2A55" w:rsidP="00CB2A55">
      <w:pPr>
        <w:widowControl w:val="0"/>
        <w:suppressAutoHyphens/>
        <w:ind w:left="0" w:firstLine="0"/>
        <w:rPr>
          <w:rFonts w:ascii="Times New Roman" w:eastAsia="Tahoma" w:hAnsi="Times New Roman" w:cs="Times New Roman"/>
          <w:b/>
          <w:sz w:val="18"/>
          <w:szCs w:val="18"/>
          <w:lang w:val="es-ES_tradnl" w:eastAsia="es-ES"/>
        </w:rPr>
      </w:pPr>
      <w:r w:rsidRPr="00CB2A55">
        <w:rPr>
          <w:rFonts w:ascii="Times New Roman" w:eastAsia="Tahoma" w:hAnsi="Times New Roman" w:cs="Times New Roman"/>
          <w:b/>
          <w:noProof/>
          <w:sz w:val="18"/>
          <w:szCs w:val="18"/>
          <w:lang w:val="es-ES_tradnl" w:eastAsia="es-ES"/>
        </w:rPr>
        <w:t>LIMA</w:t>
      </w:r>
    </w:p>
    <w:p w:rsidR="00CB2A55" w:rsidRPr="00CB2A55" w:rsidRDefault="00CB2A55" w:rsidP="00CB2A55">
      <w:pPr>
        <w:widowControl w:val="0"/>
        <w:suppressAutoHyphens/>
        <w:ind w:left="0" w:firstLine="0"/>
        <w:rPr>
          <w:rFonts w:ascii="Times New Roman" w:eastAsia="Tahoma" w:hAnsi="Times New Roman" w:cs="Times New Roman"/>
          <w:b/>
          <w:noProof/>
          <w:sz w:val="18"/>
          <w:szCs w:val="18"/>
          <w:lang w:val="es-ES_tradnl" w:eastAsia="es-ES"/>
        </w:rPr>
      </w:pPr>
      <w:r w:rsidRPr="00CB2A55">
        <w:rPr>
          <w:rFonts w:ascii="Times New Roman" w:eastAsia="Tahoma" w:hAnsi="Times New Roman" w:cs="Times New Roman"/>
          <w:b/>
          <w:noProof/>
          <w:sz w:val="18"/>
          <w:szCs w:val="18"/>
          <w:lang w:val="es-ES_tradnl" w:eastAsia="es-ES"/>
        </w:rPr>
        <w:t xml:space="preserve">MARGARITA  </w:t>
      </w:r>
    </w:p>
    <w:p w:rsidR="00CB2A55" w:rsidRPr="00CB2A55" w:rsidRDefault="00CB2A55" w:rsidP="00CB2A55">
      <w:pPr>
        <w:widowControl w:val="0"/>
        <w:suppressAutoHyphens/>
        <w:ind w:left="0" w:firstLine="0"/>
        <w:rPr>
          <w:rFonts w:ascii="Times New Roman" w:eastAsia="Tahoma" w:hAnsi="Times New Roman" w:cs="Times New Roman"/>
          <w:b/>
          <w:sz w:val="18"/>
          <w:szCs w:val="18"/>
          <w:lang w:val="es-ES_tradnl" w:eastAsia="es-ES"/>
        </w:rPr>
      </w:pPr>
      <w:r w:rsidRPr="00CB2A55">
        <w:rPr>
          <w:rFonts w:ascii="Times New Roman" w:eastAsia="Tahoma" w:hAnsi="Times New Roman" w:cs="Times New Roman"/>
          <w:b/>
          <w:noProof/>
          <w:sz w:val="18"/>
          <w:szCs w:val="18"/>
          <w:lang w:val="es-ES_tradnl" w:eastAsia="es-ES"/>
        </w:rPr>
        <w:t>DEL CAMPO VEGAS</w:t>
      </w:r>
    </w:p>
    <w:p w:rsidR="00CB2A55" w:rsidRPr="00CB2A55" w:rsidRDefault="00CB2A55" w:rsidP="00CB2A55">
      <w:pPr>
        <w:widowControl w:val="0"/>
        <w:suppressAutoHyphens/>
        <w:ind w:left="0" w:firstLine="0"/>
        <w:rPr>
          <w:rFonts w:ascii="Times New Roman" w:eastAsia="Lucida Sans Unicode" w:hAnsi="Times New Roman" w:cs="Times New Roman"/>
          <w:b/>
          <w:sz w:val="18"/>
          <w:szCs w:val="18"/>
          <w:lang w:eastAsia="es-ES"/>
        </w:rPr>
      </w:pPr>
      <w:r w:rsidRPr="00CB2A55">
        <w:rPr>
          <w:rFonts w:ascii="Times New Roman" w:eastAsia="Lucida Sans Unicode" w:hAnsi="Times New Roman" w:cs="Times New Roman"/>
          <w:b/>
          <w:sz w:val="18"/>
          <w:szCs w:val="18"/>
          <w:lang w:eastAsia="es-ES"/>
        </w:rPr>
        <w:tab/>
      </w:r>
    </w:p>
    <w:p w:rsidR="00CB2A55" w:rsidRPr="00CB2A55" w:rsidRDefault="00CB2A55" w:rsidP="00CB2A55">
      <w:pPr>
        <w:widowControl w:val="0"/>
        <w:suppressAutoHyphens/>
        <w:ind w:left="0" w:firstLine="0"/>
        <w:rPr>
          <w:rFonts w:ascii="Times New Roman" w:eastAsia="Lucida Sans Unicode" w:hAnsi="Times New Roman" w:cs="Times New Roman"/>
          <w:b/>
          <w:sz w:val="18"/>
          <w:szCs w:val="18"/>
          <w:lang w:eastAsia="es-ES"/>
        </w:rPr>
      </w:pPr>
    </w:p>
    <w:p w:rsidR="00CB2A55" w:rsidRPr="00CB2A55" w:rsidRDefault="00CB2A55" w:rsidP="00CB2A55">
      <w:pPr>
        <w:widowControl w:val="0"/>
        <w:suppressAutoHyphens/>
        <w:ind w:left="0" w:firstLine="0"/>
        <w:jc w:val="center"/>
        <w:rPr>
          <w:rFonts w:ascii="Times New Roman" w:eastAsia="Lucida Sans Unicode" w:hAnsi="Times New Roman" w:cs="Times New Roman"/>
          <w:b/>
          <w:sz w:val="24"/>
          <w:szCs w:val="24"/>
          <w:lang w:eastAsia="es-ES"/>
        </w:rPr>
      </w:pPr>
      <w:r w:rsidRPr="00CB2A55">
        <w:rPr>
          <w:rFonts w:ascii="Times New Roman" w:eastAsia="Lucida Sans Unicode" w:hAnsi="Times New Roman" w:cs="Times New Roman"/>
          <w:b/>
          <w:sz w:val="24"/>
          <w:szCs w:val="24"/>
          <w:lang w:eastAsia="es-ES"/>
        </w:rPr>
        <w:t>RESOLUCIÓN DEL TRIBUNAL CONSTITUCIONAL</w:t>
      </w:r>
    </w:p>
    <w:p w:rsidR="00CB2A55" w:rsidRPr="00CB2A55" w:rsidRDefault="00CB2A55" w:rsidP="00CB2A55">
      <w:pPr>
        <w:keepNext/>
        <w:widowControl w:val="0"/>
        <w:suppressAutoHyphens/>
        <w:ind w:left="0" w:firstLine="0"/>
        <w:outlineLvl w:val="0"/>
        <w:rPr>
          <w:rFonts w:ascii="Times New Roman" w:eastAsia="Lucida Sans Unicode" w:hAnsi="Times New Roman" w:cs="Times New Roman"/>
          <w:sz w:val="24"/>
          <w:szCs w:val="24"/>
          <w:lang w:eastAsia="es-ES"/>
        </w:rPr>
      </w:pPr>
    </w:p>
    <w:p w:rsidR="00CB2A55" w:rsidRPr="00CB2A55" w:rsidRDefault="00CB2A55" w:rsidP="00CB2A55">
      <w:pPr>
        <w:widowControl w:val="0"/>
        <w:suppressAutoHyphens/>
        <w:ind w:left="0" w:firstLine="0"/>
        <w:jc w:val="left"/>
        <w:rPr>
          <w:rFonts w:ascii="Times New Roman" w:eastAsia="Tahoma" w:hAnsi="Times New Roman" w:cs="Times New Roman"/>
          <w:sz w:val="24"/>
          <w:szCs w:val="24"/>
          <w:lang w:eastAsia="es-ES"/>
        </w:rPr>
      </w:pP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r w:rsidRPr="00CB2A55">
        <w:rPr>
          <w:rFonts w:ascii="Times New Roman" w:eastAsia="Tahoma" w:hAnsi="Times New Roman" w:cs="Times New Roman"/>
          <w:noProof/>
          <w:sz w:val="24"/>
          <w:szCs w:val="24"/>
          <w:lang w:val="es-ES_tradnl" w:eastAsia="es-ES"/>
        </w:rPr>
        <w:t>Lima, 22 de noviembre de 2010</w:t>
      </w:r>
    </w:p>
    <w:p w:rsidR="00CB2A55" w:rsidRPr="00CB2A55" w:rsidRDefault="00CB2A55" w:rsidP="00CB2A55">
      <w:pPr>
        <w:widowControl w:val="0"/>
        <w:suppressAutoHyphens/>
        <w:ind w:left="0" w:firstLine="0"/>
        <w:rPr>
          <w:rFonts w:ascii="Times New Roman" w:eastAsia="Lucida Sans Unicode" w:hAnsi="Times New Roman" w:cs="Times New Roman"/>
          <w:b/>
          <w:sz w:val="24"/>
          <w:szCs w:val="24"/>
          <w:lang w:eastAsia="es-ES"/>
        </w:rPr>
      </w:pPr>
    </w:p>
    <w:p w:rsidR="00CB2A55" w:rsidRPr="00CB2A55" w:rsidRDefault="00CB2A55" w:rsidP="00CB2A55">
      <w:pPr>
        <w:widowControl w:val="0"/>
        <w:suppressAutoHyphens/>
        <w:ind w:left="0" w:firstLine="0"/>
        <w:rPr>
          <w:rFonts w:ascii="Times New Roman" w:eastAsia="Lucida Sans Unicode" w:hAnsi="Times New Roman" w:cs="Times New Roman"/>
          <w:b/>
          <w:sz w:val="24"/>
          <w:szCs w:val="24"/>
          <w:lang w:eastAsia="es-ES"/>
        </w:rPr>
      </w:pPr>
      <w:r w:rsidRPr="00CB2A55">
        <w:rPr>
          <w:rFonts w:ascii="Times New Roman" w:eastAsia="Lucida Sans Unicode" w:hAnsi="Times New Roman" w:cs="Times New Roman"/>
          <w:b/>
          <w:sz w:val="24"/>
          <w:szCs w:val="24"/>
          <w:lang w:eastAsia="es-ES"/>
        </w:rPr>
        <w:t>VISTO</w:t>
      </w:r>
    </w:p>
    <w:p w:rsidR="00CB2A55" w:rsidRPr="00CB2A55" w:rsidRDefault="00CB2A55" w:rsidP="00CB2A55">
      <w:pPr>
        <w:widowControl w:val="0"/>
        <w:suppressAutoHyphens/>
        <w:ind w:left="0" w:firstLine="0"/>
        <w:rPr>
          <w:rFonts w:ascii="Times New Roman" w:eastAsia="Lucida Sans Unicode" w:hAnsi="Times New Roman" w:cs="Times New Roman"/>
          <w:b/>
          <w:sz w:val="24"/>
          <w:szCs w:val="24"/>
          <w:lang w:eastAsia="es-ES"/>
        </w:rPr>
      </w:pPr>
    </w:p>
    <w:p w:rsidR="00CB2A55" w:rsidRPr="00CB2A55" w:rsidRDefault="00CB2A55" w:rsidP="00CB2A55">
      <w:pPr>
        <w:widowControl w:val="0"/>
        <w:suppressAutoHyphens/>
        <w:ind w:left="0" w:firstLine="709"/>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El recurso de agravio constitucional interpuesto por doña Margarita del Campo Vegas contra la resolución expedida por la Tercera Sala Civil de la Corte Superior de Justicia de Lima, de fojas 81, su fecha 26 de mayo de 2010, que declaró improcedente la demanda de hábeas data de autos; y,</w:t>
      </w: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p>
    <w:p w:rsidR="00CB2A55" w:rsidRPr="00CB2A55" w:rsidRDefault="00CB2A55" w:rsidP="00CB2A55">
      <w:pPr>
        <w:widowControl w:val="0"/>
        <w:suppressAutoHyphens/>
        <w:ind w:left="0" w:firstLine="0"/>
        <w:rPr>
          <w:rFonts w:ascii="Times New Roman" w:eastAsia="Tahoma" w:hAnsi="Times New Roman" w:cs="Times New Roman"/>
          <w:b/>
          <w:sz w:val="24"/>
          <w:szCs w:val="24"/>
          <w:lang w:val="es-ES_tradnl" w:eastAsia="es-ES"/>
        </w:rPr>
      </w:pPr>
      <w:r w:rsidRPr="00CB2A55">
        <w:rPr>
          <w:rFonts w:ascii="Times New Roman" w:eastAsia="Tahoma" w:hAnsi="Times New Roman" w:cs="Times New Roman"/>
          <w:b/>
          <w:sz w:val="24"/>
          <w:szCs w:val="24"/>
          <w:lang w:val="es-ES_tradnl" w:eastAsia="es-ES"/>
        </w:rPr>
        <w:t xml:space="preserve">ATENDIENDO A </w:t>
      </w: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Que con fecha 19 de junio de 2009 la recurrente interpone demanda de hábeas data contra la Fiscal de la Nación, doña Gladys Echaíz Ramos, con la finalidad de que se le ordene entregar copia simple de la investigación fiscal a la que se hace alusión en una publicación de Internet de fecha 1 de junio de 2009.</w:t>
      </w:r>
    </w:p>
    <w:p w:rsidR="00CB2A55" w:rsidRPr="00CB2A55" w:rsidRDefault="00CB2A55" w:rsidP="00CB2A55">
      <w:pPr>
        <w:widowControl w:val="0"/>
        <w:tabs>
          <w:tab w:val="left" w:pos="1440"/>
        </w:tabs>
        <w:suppressAutoHyphens/>
        <w:ind w:left="360" w:right="-30" w:firstLine="0"/>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Que el Noveno Juzgado Constitucional de Lima, con fecha 17 de julio de 2009, en aplicación del artículo 5.1° del Código Procesal Constitucional (CPCo.), declara improcedente la demanda por considerar que toda investigación fiscal es reservada.</w:t>
      </w:r>
    </w:p>
    <w:p w:rsidR="00CB2A55" w:rsidRPr="00CB2A55" w:rsidRDefault="00CB2A55" w:rsidP="00CB2A55">
      <w:pPr>
        <w:widowControl w:val="0"/>
        <w:suppressAutoHyphens/>
        <w:ind w:left="708" w:firstLine="0"/>
        <w:jc w:val="left"/>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Que a su turno la Tercera Sala Civil de la Corte Superior de Justicia de Lima confirma la apelada, por el mismo fundamento.</w:t>
      </w:r>
    </w:p>
    <w:p w:rsidR="00CB2A55" w:rsidRPr="00CB2A55" w:rsidRDefault="00CB2A55" w:rsidP="00CB2A55">
      <w:pPr>
        <w:widowControl w:val="0"/>
        <w:suppressAutoHyphens/>
        <w:ind w:left="708" w:firstLine="0"/>
        <w:jc w:val="left"/>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 xml:space="preserve">Que el artículo 73° del Código de Procedimientos Penales, tal como lo hace el artículo 324° 1 del Nuevo Código Procesal Penal, establece que la investigación fiscal “tiene carácter reservado”. </w:t>
      </w:r>
    </w:p>
    <w:p w:rsidR="00CB2A55" w:rsidRPr="00CB2A55" w:rsidRDefault="00CB2A55" w:rsidP="00CB2A55">
      <w:pPr>
        <w:widowControl w:val="0"/>
        <w:suppressAutoHyphens/>
        <w:ind w:left="708" w:firstLine="0"/>
        <w:jc w:val="left"/>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Que en ese sentido el Tribunal Constitucional encuentra que dicha disposición es idónea para resguardar el adecuado ejercicio de las competencias del Ministerio Público, previstas en el artículo 159° de la Constitución.</w:t>
      </w:r>
    </w:p>
    <w:p w:rsidR="00CB2A55" w:rsidRPr="00CB2A55" w:rsidRDefault="00CB2A55" w:rsidP="00CB2A55">
      <w:pPr>
        <w:widowControl w:val="0"/>
        <w:suppressAutoHyphens/>
        <w:ind w:left="708" w:firstLine="0"/>
        <w:jc w:val="left"/>
        <w:rPr>
          <w:rFonts w:ascii="Times New Roman" w:eastAsia="Tahoma" w:hAnsi="Times New Roman" w:cs="Times New Roman"/>
          <w:sz w:val="24"/>
          <w:szCs w:val="24"/>
          <w:lang w:val="es-ES_tradnl" w:eastAsia="es-ES"/>
        </w:rPr>
      </w:pPr>
    </w:p>
    <w:p w:rsidR="00CB2A55" w:rsidRPr="00CB2A55" w:rsidRDefault="00CB2A55" w:rsidP="00CB2A55">
      <w:pPr>
        <w:widowControl w:val="0"/>
        <w:numPr>
          <w:ilvl w:val="0"/>
          <w:numId w:val="1"/>
        </w:numPr>
        <w:tabs>
          <w:tab w:val="left" w:pos="1440"/>
        </w:tabs>
        <w:suppressAutoHyphens/>
        <w:ind w:right="-3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 xml:space="preserve">Que </w:t>
      </w:r>
      <w:r w:rsidRPr="00CB2A55">
        <w:rPr>
          <w:rFonts w:ascii="Times New Roman" w:eastAsia="Tahoma" w:hAnsi="Times New Roman" w:cs="Times New Roman"/>
          <w:sz w:val="24"/>
          <w:szCs w:val="24"/>
          <w:lang w:val="es-ES" w:eastAsia="es-ES"/>
        </w:rPr>
        <w:t xml:space="preserve">en consecuencia los hechos y el petitorio de la demanda no están referidos en forma directa al contenido constitucionalmente protegido del derecho fundamental de acceso a la información pública, reconocido en el artículo 2° 5 de </w:t>
      </w:r>
      <w:smartTag w:uri="urn:schemas-microsoft-com:office:smarttags" w:element="PersonName">
        <w:smartTagPr>
          <w:attr w:name="ProductID" w:val="la Constitución"/>
        </w:smartTagPr>
        <w:r w:rsidRPr="00CB2A55">
          <w:rPr>
            <w:rFonts w:ascii="Times New Roman" w:eastAsia="Tahoma" w:hAnsi="Times New Roman" w:cs="Times New Roman"/>
            <w:sz w:val="24"/>
            <w:szCs w:val="24"/>
            <w:lang w:val="es-ES" w:eastAsia="es-ES"/>
          </w:rPr>
          <w:t>la Constitución</w:t>
        </w:r>
      </w:smartTag>
      <w:r w:rsidRPr="00CB2A55">
        <w:rPr>
          <w:rFonts w:ascii="Times New Roman" w:eastAsia="Tahoma" w:hAnsi="Times New Roman" w:cs="Times New Roman"/>
          <w:sz w:val="24"/>
          <w:szCs w:val="24"/>
          <w:lang w:val="es-ES" w:eastAsia="es-ES"/>
        </w:rPr>
        <w:t xml:space="preserve">, </w:t>
      </w:r>
      <w:r w:rsidRPr="00CB2A55">
        <w:rPr>
          <w:rFonts w:ascii="Times New Roman" w:eastAsia="Tahoma" w:hAnsi="Times New Roman" w:cs="Times New Roman"/>
          <w:sz w:val="24"/>
          <w:szCs w:val="24"/>
          <w:lang w:val="es-ES" w:eastAsia="es-ES"/>
        </w:rPr>
        <w:lastRenderedPageBreak/>
        <w:t>motivo por el cual, en aplicación del artículo 5° 1 del CPCo., corresponde declarar su improcedencia.</w:t>
      </w:r>
    </w:p>
    <w:p w:rsidR="00CB2A55" w:rsidRPr="00CB2A55" w:rsidRDefault="00CB2A55" w:rsidP="00CB2A55">
      <w:pPr>
        <w:widowControl w:val="0"/>
        <w:tabs>
          <w:tab w:val="left" w:pos="1440"/>
        </w:tabs>
        <w:suppressAutoHyphens/>
        <w:ind w:left="0" w:right="-30" w:firstLine="0"/>
        <w:rPr>
          <w:rFonts w:ascii="Times New Roman" w:eastAsia="Tahoma" w:hAnsi="Times New Roman" w:cs="Times New Roman"/>
          <w:sz w:val="24"/>
          <w:szCs w:val="24"/>
          <w:lang w:val="es-ES_tradnl" w:eastAsia="es-ES"/>
        </w:rPr>
      </w:pPr>
    </w:p>
    <w:p w:rsidR="00CB2A55" w:rsidRPr="00CB2A55" w:rsidRDefault="00CB2A55" w:rsidP="00CB2A55">
      <w:pPr>
        <w:widowControl w:val="0"/>
        <w:suppressAutoHyphens/>
        <w:ind w:left="0" w:firstLine="36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 xml:space="preserve">Por estas consideraciones, el Tribunal Constitucional, con la autoridad que le confiere </w:t>
      </w:r>
      <w:smartTag w:uri="urn:schemas-microsoft-com:office:smarttags" w:element="PersonName">
        <w:smartTagPr>
          <w:attr w:name="ProductID" w:val="la Constituci?n Pol￭tica"/>
        </w:smartTagPr>
        <w:r w:rsidRPr="00CB2A55">
          <w:rPr>
            <w:rFonts w:ascii="Times New Roman" w:eastAsia="Tahoma" w:hAnsi="Times New Roman" w:cs="Times New Roman"/>
            <w:sz w:val="24"/>
            <w:szCs w:val="24"/>
            <w:lang w:val="es-ES_tradnl" w:eastAsia="es-ES"/>
          </w:rPr>
          <w:t>la Constitución Política</w:t>
        </w:r>
      </w:smartTag>
      <w:r w:rsidRPr="00CB2A55">
        <w:rPr>
          <w:rFonts w:ascii="Times New Roman" w:eastAsia="Tahoma" w:hAnsi="Times New Roman" w:cs="Times New Roman"/>
          <w:sz w:val="24"/>
          <w:szCs w:val="24"/>
          <w:lang w:val="es-ES_tradnl" w:eastAsia="es-ES"/>
        </w:rPr>
        <w:t xml:space="preserve"> del Perú</w:t>
      </w: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p>
    <w:p w:rsidR="00CB2A55" w:rsidRPr="00CB2A55" w:rsidRDefault="00CB2A55" w:rsidP="00CB2A55">
      <w:pPr>
        <w:widowControl w:val="0"/>
        <w:suppressAutoHyphens/>
        <w:ind w:left="0" w:firstLine="0"/>
        <w:rPr>
          <w:rFonts w:ascii="Times New Roman" w:eastAsia="Tahoma" w:hAnsi="Times New Roman" w:cs="Times New Roman"/>
          <w:b/>
          <w:sz w:val="24"/>
          <w:szCs w:val="24"/>
          <w:lang w:val="es-ES_tradnl" w:eastAsia="es-ES"/>
        </w:rPr>
      </w:pPr>
      <w:r w:rsidRPr="00CB2A55">
        <w:rPr>
          <w:rFonts w:ascii="Times New Roman" w:eastAsia="Tahoma" w:hAnsi="Times New Roman" w:cs="Times New Roman"/>
          <w:b/>
          <w:sz w:val="24"/>
          <w:szCs w:val="24"/>
          <w:lang w:val="es-ES_tradnl" w:eastAsia="es-ES"/>
        </w:rPr>
        <w:t>RESUELVE</w:t>
      </w: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p>
    <w:p w:rsidR="00CB2A55" w:rsidRPr="00CB2A55" w:rsidRDefault="00CB2A55" w:rsidP="00CB2A55">
      <w:pPr>
        <w:widowControl w:val="0"/>
        <w:tabs>
          <w:tab w:val="left" w:pos="1500"/>
        </w:tabs>
        <w:suppressAutoHyphens/>
        <w:ind w:left="15" w:firstLine="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 xml:space="preserve">Declarar </w:t>
      </w:r>
      <w:r w:rsidRPr="00CB2A55">
        <w:rPr>
          <w:rFonts w:ascii="Times New Roman" w:eastAsia="Tahoma" w:hAnsi="Times New Roman" w:cs="Times New Roman"/>
          <w:b/>
          <w:sz w:val="24"/>
          <w:szCs w:val="24"/>
          <w:lang w:val="es-ES_tradnl" w:eastAsia="es-ES"/>
        </w:rPr>
        <w:t>IMPROCEDENTE</w:t>
      </w:r>
      <w:r w:rsidRPr="00CB2A55">
        <w:rPr>
          <w:rFonts w:ascii="Times New Roman" w:eastAsia="Tahoma" w:hAnsi="Times New Roman" w:cs="Times New Roman"/>
          <w:sz w:val="24"/>
          <w:szCs w:val="24"/>
          <w:lang w:val="es-ES_tradnl" w:eastAsia="es-ES"/>
        </w:rPr>
        <w:t xml:space="preserve"> la demanda.</w:t>
      </w:r>
    </w:p>
    <w:p w:rsidR="00CB2A55" w:rsidRPr="00CB2A55" w:rsidRDefault="00CB2A55" w:rsidP="00CB2A55">
      <w:pPr>
        <w:widowControl w:val="0"/>
        <w:suppressAutoHyphens/>
        <w:ind w:left="375" w:firstLine="0"/>
        <w:rPr>
          <w:rFonts w:ascii="Times New Roman" w:eastAsia="Tahoma" w:hAnsi="Times New Roman" w:cs="Times New Roman"/>
          <w:sz w:val="24"/>
          <w:szCs w:val="24"/>
          <w:lang w:val="es-ES_tradnl" w:eastAsia="es-ES"/>
        </w:rPr>
      </w:pP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r w:rsidRPr="00CB2A55">
        <w:rPr>
          <w:rFonts w:ascii="Times New Roman" w:eastAsia="Tahoma" w:hAnsi="Times New Roman" w:cs="Times New Roman"/>
          <w:sz w:val="24"/>
          <w:szCs w:val="24"/>
          <w:lang w:val="es-ES_tradnl" w:eastAsia="es-ES"/>
        </w:rPr>
        <w:t>Publíquese y notifíquese.</w:t>
      </w:r>
    </w:p>
    <w:p w:rsidR="00CB2A55" w:rsidRPr="00CB2A55" w:rsidRDefault="00CB2A55" w:rsidP="00CB2A55">
      <w:pPr>
        <w:widowControl w:val="0"/>
        <w:suppressAutoHyphens/>
        <w:ind w:left="0" w:firstLine="0"/>
        <w:rPr>
          <w:rFonts w:ascii="Times New Roman" w:eastAsia="Tahoma" w:hAnsi="Times New Roman" w:cs="Times New Roman"/>
          <w:sz w:val="24"/>
          <w:szCs w:val="24"/>
          <w:lang w:val="es-ES_tradnl" w:eastAsia="es-ES"/>
        </w:rPr>
      </w:pPr>
    </w:p>
    <w:p w:rsidR="00CB2A55" w:rsidRPr="00CB2A55" w:rsidRDefault="00CB2A55" w:rsidP="00CB2A55">
      <w:pPr>
        <w:widowControl w:val="0"/>
        <w:suppressAutoHyphens/>
        <w:ind w:left="0" w:firstLine="0"/>
        <w:rPr>
          <w:rFonts w:ascii="Times New Roman" w:eastAsia="Tahoma" w:hAnsi="Times New Roman" w:cs="Times New Roman"/>
          <w:sz w:val="24"/>
          <w:szCs w:val="24"/>
          <w:lang w:val="en-US" w:eastAsia="es-ES"/>
        </w:rPr>
      </w:pPr>
      <w:r w:rsidRPr="00CB2A55">
        <w:rPr>
          <w:rFonts w:ascii="Times New Roman" w:eastAsia="Tahoma" w:hAnsi="Times New Roman" w:cs="Times New Roman"/>
          <w:sz w:val="24"/>
          <w:szCs w:val="24"/>
          <w:lang w:val="en-US" w:eastAsia="es-ES"/>
        </w:rPr>
        <w:t>SS.</w:t>
      </w:r>
    </w:p>
    <w:p w:rsidR="00CB2A55" w:rsidRPr="00CB2A55" w:rsidRDefault="00CB2A55" w:rsidP="00CB2A55">
      <w:pPr>
        <w:widowControl w:val="0"/>
        <w:suppressAutoHyphens/>
        <w:ind w:left="0" w:firstLine="0"/>
        <w:jc w:val="left"/>
        <w:rPr>
          <w:rFonts w:ascii="Times New Roman" w:eastAsia="Lucida Sans Unicode" w:hAnsi="Times New Roman" w:cs="Times New Roman"/>
          <w:sz w:val="24"/>
          <w:szCs w:val="24"/>
          <w:lang w:val="en-US" w:eastAsia="es-ES"/>
        </w:rPr>
      </w:pPr>
    </w:p>
    <w:p w:rsidR="00CB2A55" w:rsidRPr="00CB2A55" w:rsidRDefault="00CB2A55" w:rsidP="00CB2A55">
      <w:pPr>
        <w:ind w:left="0" w:firstLine="0"/>
        <w:jc w:val="left"/>
        <w:rPr>
          <w:rFonts w:ascii="Times New Roman" w:eastAsia="Tahoma" w:hAnsi="Times New Roman" w:cs="Times New Roman"/>
          <w:b/>
          <w:bCs/>
          <w:sz w:val="24"/>
          <w:szCs w:val="24"/>
          <w:lang w:val="es-ES_tradnl" w:eastAsia="es-ES"/>
        </w:rPr>
        <w:sectPr w:rsidR="00CB2A55" w:rsidRPr="00CB2A55">
          <w:footnotePr>
            <w:pos w:val="beneathText"/>
          </w:footnotePr>
          <w:pgSz w:w="11905" w:h="16837"/>
          <w:pgMar w:top="3828" w:right="1701" w:bottom="1417" w:left="1701" w:header="2970" w:footer="720" w:gutter="0"/>
          <w:pgNumType w:start="1"/>
          <w:cols w:space="720"/>
        </w:sectPr>
      </w:pP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lastRenderedPageBreak/>
        <w:t>MESÍA RAMÍREZ</w:t>
      </w: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t>BEAUMONT CALLIRGOS</w:t>
      </w: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t>VERGARA GOTELLI</w:t>
      </w: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t>ETO CRUZ</w:t>
      </w: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t>ÁLVAREZ MIRANDA</w:t>
      </w:r>
    </w:p>
    <w:p w:rsidR="00CB2A55" w:rsidRPr="00CB2A55" w:rsidRDefault="00CB2A55" w:rsidP="00CB2A55">
      <w:pPr>
        <w:widowControl w:val="0"/>
        <w:suppressAutoHyphens/>
        <w:ind w:left="0" w:firstLine="0"/>
        <w:jc w:val="left"/>
        <w:rPr>
          <w:rFonts w:ascii="Times New Roman" w:eastAsia="Tahoma" w:hAnsi="Times New Roman" w:cs="Times New Roman"/>
          <w:b/>
          <w:bCs/>
          <w:sz w:val="24"/>
          <w:szCs w:val="24"/>
          <w:lang w:val="es-ES" w:eastAsia="es-ES"/>
        </w:rPr>
      </w:pPr>
      <w:r w:rsidRPr="00CB2A55">
        <w:rPr>
          <w:rFonts w:ascii="Times New Roman" w:eastAsia="Tahoma" w:hAnsi="Times New Roman" w:cs="Times New Roman"/>
          <w:b/>
          <w:bCs/>
          <w:sz w:val="24"/>
          <w:szCs w:val="24"/>
          <w:lang w:val="es-ES" w:eastAsia="es-ES"/>
        </w:rPr>
        <w:t>URVIOLA HANI</w:t>
      </w:r>
    </w:p>
    <w:p w:rsidR="00622AAC" w:rsidRDefault="00622AAC"/>
    <w:sectPr w:rsidR="00622AAC" w:rsidSect="008D645C">
      <w:pgSz w:w="11907" w:h="16839" w:code="9"/>
      <w:pgMar w:top="2268" w:right="1701" w:bottom="2268" w:left="2268" w:header="1304" w:footer="1871" w:gutter="0"/>
      <w:paperSrc w:other="4"/>
      <w:cols w:space="708"/>
      <w:titlePg/>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5EEF"/>
    <w:multiLevelType w:val="singleLevel"/>
    <w:tmpl w:val="865E5038"/>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00"/>
  <w:drawingGridVerticalSpacing w:val="136"/>
  <w:displayHorizontalDrawingGridEvery w:val="2"/>
  <w:displayVerticalDrawingGridEvery w:val="2"/>
  <w:characterSpacingControl w:val="doNotCompress"/>
  <w:footnotePr>
    <w:pos w:val="beneathText"/>
  </w:footnotePr>
  <w:compat/>
  <w:rsids>
    <w:rsidRoot w:val="00CB2A55"/>
    <w:rsid w:val="00063A9D"/>
    <w:rsid w:val="00146A8F"/>
    <w:rsid w:val="00253CBF"/>
    <w:rsid w:val="004432C1"/>
    <w:rsid w:val="00622AAC"/>
    <w:rsid w:val="00657103"/>
    <w:rsid w:val="008D645C"/>
    <w:rsid w:val="00A41DC0"/>
    <w:rsid w:val="00B45536"/>
    <w:rsid w:val="00CB2A55"/>
    <w:rsid w:val="00FE3F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ind w:left="284"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AC"/>
    <w:rPr>
      <w:lang w:val="es-PE"/>
    </w:rPr>
  </w:style>
  <w:style w:type="paragraph" w:styleId="Ttulo1">
    <w:name w:val="heading 1"/>
    <w:basedOn w:val="Normal"/>
    <w:next w:val="Normal"/>
    <w:link w:val="Ttulo1Car"/>
    <w:uiPriority w:val="9"/>
    <w:qFormat/>
    <w:rsid w:val="00CB2A55"/>
    <w:pPr>
      <w:keepNext/>
      <w:widowControl w:val="0"/>
      <w:suppressAutoHyphens/>
      <w:ind w:left="360" w:hanging="360"/>
      <w:outlineLvl w:val="0"/>
    </w:pPr>
    <w:rPr>
      <w:rFonts w:ascii="Times New Roman" w:eastAsia="Tahoma" w:hAnsi="Times New Roman"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B2A55"/>
    <w:rPr>
      <w:rFonts w:ascii="Times New Roman" w:eastAsia="Tahoma" w:hAnsi="Times New Roman" w:cs="Times New Roman"/>
      <w:sz w:val="24"/>
      <w:szCs w:val="24"/>
      <w:lang w:val="es-ES_tradnl" w:eastAsia="es-ES"/>
    </w:rPr>
  </w:style>
  <w:style w:type="paragraph" w:styleId="Prrafodelista">
    <w:name w:val="List Paragraph"/>
    <w:basedOn w:val="Normal"/>
    <w:uiPriority w:val="34"/>
    <w:qFormat/>
    <w:rsid w:val="00CB2A55"/>
    <w:pPr>
      <w:widowControl w:val="0"/>
      <w:suppressAutoHyphens/>
      <w:ind w:left="708" w:firstLine="0"/>
      <w:jc w:val="left"/>
    </w:pPr>
    <w:rPr>
      <w:rFonts w:ascii="Times New Roman" w:eastAsia="Tahoma" w:hAnsi="Times New Roman" w:cs="Times New Roman"/>
      <w:sz w:val="24"/>
      <w:szCs w:val="24"/>
      <w:lang w:val="es-ES_tradnl" w:eastAsia="es-ES"/>
    </w:rPr>
  </w:style>
</w:styles>
</file>

<file path=word/webSettings.xml><?xml version="1.0" encoding="utf-8"?>
<w:webSettings xmlns:r="http://schemas.openxmlformats.org/officeDocument/2006/relationships" xmlns:w="http://schemas.openxmlformats.org/wordprocessingml/2006/main">
  <w:divs>
    <w:div w:id="20906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0ACDE-00AA-4569-969F-A8AD4658E475}"/>
</file>

<file path=customXml/itemProps2.xml><?xml version="1.0" encoding="utf-8"?>
<ds:datastoreItem xmlns:ds="http://schemas.openxmlformats.org/officeDocument/2006/customXml" ds:itemID="{CF02836B-2B30-4916-B1B3-4AADD6A43817}"/>
</file>

<file path=customXml/itemProps3.xml><?xml version="1.0" encoding="utf-8"?>
<ds:datastoreItem xmlns:ds="http://schemas.openxmlformats.org/officeDocument/2006/customXml" ds:itemID="{16BA1FC0-B2C7-468B-9DC6-55D321D47D26}"/>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1848</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03710-2010-PHD-TC</dc:title>
  <dc:subject/>
  <dc:creator>jmaganr</dc:creator>
  <cp:keywords>Perú</cp:keywords>
  <dc:description/>
  <cp:lastModifiedBy>jmaganr</cp:lastModifiedBy>
  <cp:revision>2</cp:revision>
  <dcterms:created xsi:type="dcterms:W3CDTF">2014-01-31T23:22:00Z</dcterms:created>
  <dcterms:modified xsi:type="dcterms:W3CDTF">2014-01-31T23:23:00Z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