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68" w:rsidRPr="00580268" w:rsidRDefault="00580268" w:rsidP="00580268">
      <w:pPr>
        <w:ind w:left="0" w:firstLine="0"/>
        <w:jc w:val="left"/>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b/>
          <w:bCs/>
          <w:sz w:val="18"/>
          <w:szCs w:val="18"/>
          <w:lang w:val="es-ES_tradnl" w:eastAsia="es-ES"/>
        </w:rPr>
        <w:t>EXP. N.° 01143-2011-PHD/TC</w:t>
      </w:r>
    </w:p>
    <w:p w:rsidR="00580268" w:rsidRPr="00580268" w:rsidRDefault="00580268" w:rsidP="00580268">
      <w:pPr>
        <w:ind w:left="0" w:firstLine="0"/>
        <w:jc w:val="left"/>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b/>
          <w:bCs/>
          <w:sz w:val="18"/>
          <w:szCs w:val="18"/>
          <w:lang w:val="es-ES_tradnl" w:eastAsia="es-ES"/>
        </w:rPr>
        <w:t>LIMA</w:t>
      </w:r>
    </w:p>
    <w:p w:rsidR="00580268" w:rsidRPr="00580268" w:rsidRDefault="00580268" w:rsidP="00580268">
      <w:pPr>
        <w:ind w:left="0" w:firstLine="0"/>
        <w:jc w:val="left"/>
        <w:rPr>
          <w:rFonts w:ascii="Times New Roman" w:eastAsiaTheme="minorEastAsia" w:hAnsi="Times New Roman" w:cs="Times New Roman"/>
          <w:b/>
          <w:bCs/>
          <w:sz w:val="18"/>
          <w:szCs w:val="18"/>
          <w:lang w:val="es-ES_tradnl" w:eastAsia="es-ES"/>
        </w:rPr>
      </w:pPr>
      <w:r w:rsidRPr="00580268">
        <w:rPr>
          <w:rFonts w:ascii="Times New Roman" w:eastAsiaTheme="minorEastAsia" w:hAnsi="Times New Roman" w:cs="Times New Roman"/>
          <w:b/>
          <w:bCs/>
          <w:sz w:val="18"/>
          <w:szCs w:val="18"/>
          <w:lang w:val="es-ES_tradnl" w:eastAsia="es-ES"/>
        </w:rPr>
        <w:t xml:space="preserve">ANDRÉS AVELINO </w:t>
      </w:r>
    </w:p>
    <w:p w:rsidR="00580268" w:rsidRPr="00580268" w:rsidRDefault="00580268" w:rsidP="00580268">
      <w:pPr>
        <w:ind w:left="0" w:firstLine="0"/>
        <w:jc w:val="left"/>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b/>
          <w:bCs/>
          <w:sz w:val="18"/>
          <w:szCs w:val="18"/>
          <w:lang w:val="es-ES_tradnl" w:eastAsia="es-ES"/>
        </w:rPr>
        <w:t>CADILLO PUNTILLO</w:t>
      </w:r>
    </w:p>
    <w:p w:rsidR="00580268" w:rsidRPr="00580268" w:rsidRDefault="00580268" w:rsidP="00580268">
      <w:pPr>
        <w:ind w:left="0" w:firstLine="0"/>
        <w:rPr>
          <w:rFonts w:ascii="Times New Roman" w:eastAsiaTheme="minorEastAsia" w:hAnsi="Times New Roman" w:cs="Times New Roman"/>
          <w:b/>
          <w:bCs/>
          <w:sz w:val="24"/>
          <w:szCs w:val="24"/>
          <w:lang w:eastAsia="es-ES"/>
        </w:rPr>
      </w:pPr>
      <w:r w:rsidRPr="00580268">
        <w:rPr>
          <w:rFonts w:ascii="Times New Roman" w:eastAsiaTheme="minorEastAsia" w:hAnsi="Times New Roman" w:cs="Times New Roman"/>
          <w:b/>
          <w:bCs/>
          <w:sz w:val="24"/>
          <w:szCs w:val="24"/>
          <w:lang w:eastAsia="es-ES"/>
        </w:rPr>
        <w:t xml:space="preserve">             </w:t>
      </w:r>
    </w:p>
    <w:p w:rsidR="00580268" w:rsidRPr="00580268" w:rsidRDefault="00580268" w:rsidP="00580268">
      <w:pPr>
        <w:ind w:left="0" w:firstLine="0"/>
        <w:rPr>
          <w:rFonts w:ascii="Times New Roman" w:eastAsiaTheme="minorEastAsia" w:hAnsi="Times New Roman" w:cs="Times New Roman"/>
          <w:sz w:val="24"/>
          <w:szCs w:val="24"/>
          <w:lang w:eastAsia="es-ES"/>
        </w:rPr>
      </w:pPr>
    </w:p>
    <w:p w:rsidR="00580268" w:rsidRPr="00580268" w:rsidRDefault="00580268" w:rsidP="00580268">
      <w:pPr>
        <w:ind w:left="0" w:firstLine="0"/>
        <w:jc w:val="center"/>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b/>
          <w:bCs/>
          <w:sz w:val="24"/>
          <w:szCs w:val="24"/>
          <w:lang w:eastAsia="es-ES"/>
        </w:rPr>
        <w:t>RESOLUCIÓN DEL TRIBUNAL CONSTITUCIONAL</w:t>
      </w:r>
    </w:p>
    <w:p w:rsidR="00580268" w:rsidRPr="00580268" w:rsidRDefault="00580268" w:rsidP="00580268">
      <w:pPr>
        <w:keepNext/>
        <w:ind w:left="0" w:firstLine="0"/>
        <w:outlineLvl w:val="0"/>
        <w:rPr>
          <w:rFonts w:ascii="Times New Roman" w:eastAsia="Times New Roman" w:hAnsi="Times New Roman" w:cs="Times New Roman"/>
          <w:kern w:val="36"/>
          <w:sz w:val="24"/>
          <w:szCs w:val="24"/>
          <w:lang w:eastAsia="es-ES"/>
        </w:rPr>
      </w:pPr>
      <w:r w:rsidRPr="00580268">
        <w:rPr>
          <w:rFonts w:ascii="Times New Roman" w:eastAsiaTheme="minorEastAsia" w:hAnsi="Times New Roman" w:cs="Times New Roman"/>
          <w:kern w:val="36"/>
          <w:sz w:val="24"/>
          <w:szCs w:val="24"/>
          <w:lang w:eastAsia="es-ES"/>
        </w:rPr>
        <w:t> </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Lima, 3 de mayo de 2011</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b/>
          <w:bCs/>
          <w:sz w:val="24"/>
          <w:szCs w:val="24"/>
          <w:lang w:eastAsia="es-ES"/>
        </w:rPr>
        <w:t> </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b/>
          <w:bCs/>
          <w:sz w:val="24"/>
          <w:szCs w:val="24"/>
          <w:lang w:eastAsia="es-ES"/>
        </w:rPr>
        <w:t>VISTO</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b/>
          <w:bCs/>
          <w:sz w:val="24"/>
          <w:szCs w:val="24"/>
          <w:lang w:eastAsia="es-ES"/>
        </w:rPr>
        <w:t> </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b/>
          <w:bCs/>
          <w:sz w:val="24"/>
          <w:szCs w:val="24"/>
          <w:lang w:eastAsia="es-ES"/>
        </w:rPr>
        <w:t> </w:t>
      </w:r>
    </w:p>
    <w:p w:rsidR="00580268" w:rsidRPr="00580268" w:rsidRDefault="00580268" w:rsidP="00580268">
      <w:pPr>
        <w:ind w:left="0" w:firstLine="709"/>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xml:space="preserve">El recurso de agravio constitucional interpuesto por don Andrés Avelino Cadillo Puntillo contra la resolución expedida por la Sexta Sala Civil de la Corte Superior de Justicia de Lima, de fojas 48, su fecha 11 de enero de 2011, que, confirmando la apelada, rechazó </w:t>
      </w:r>
      <w:r w:rsidRPr="00580268">
        <w:rPr>
          <w:rFonts w:ascii="Times New Roman" w:eastAsiaTheme="minorEastAsia" w:hAnsi="Times New Roman" w:cs="Times New Roman"/>
          <w:i/>
          <w:iCs/>
          <w:sz w:val="24"/>
          <w:szCs w:val="24"/>
          <w:lang w:val="es-ES_tradnl" w:eastAsia="es-ES"/>
        </w:rPr>
        <w:t>in límine</w:t>
      </w:r>
      <w:r w:rsidRPr="00580268">
        <w:rPr>
          <w:rFonts w:ascii="Times New Roman" w:eastAsiaTheme="minorEastAsia" w:hAnsi="Times New Roman" w:cs="Times New Roman"/>
          <w:sz w:val="24"/>
          <w:szCs w:val="24"/>
          <w:lang w:val="es-ES_tradnl" w:eastAsia="es-ES"/>
        </w:rPr>
        <w:t xml:space="preserve"> y declaró improcedente la demanda de autos; y,</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b/>
          <w:bCs/>
          <w:sz w:val="24"/>
          <w:szCs w:val="24"/>
          <w:lang w:val="es-ES_tradnl" w:eastAsia="es-ES"/>
        </w:rPr>
        <w:t xml:space="preserve">ATENDIENDO A </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w:t>
      </w:r>
    </w:p>
    <w:p w:rsidR="00580268" w:rsidRPr="00580268" w:rsidRDefault="00580268" w:rsidP="00580268">
      <w:pPr>
        <w:ind w:left="360" w:right="-30" w:hanging="36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1.</w:t>
      </w:r>
      <w:r w:rsidRPr="00580268">
        <w:rPr>
          <w:rFonts w:ascii="Times New Roman" w:eastAsiaTheme="minorEastAsia" w:hAnsi="Times New Roman" w:cs="Times New Roman"/>
          <w:sz w:val="14"/>
          <w:szCs w:val="14"/>
          <w:lang w:val="es-ES_tradnl" w:eastAsia="es-ES"/>
        </w:rPr>
        <w:t xml:space="preserve">      </w:t>
      </w:r>
      <w:r w:rsidRPr="00580268">
        <w:rPr>
          <w:rFonts w:ascii="Times New Roman" w:eastAsiaTheme="minorEastAsia" w:hAnsi="Times New Roman" w:cs="Times New Roman"/>
          <w:sz w:val="24"/>
          <w:szCs w:val="24"/>
          <w:lang w:val="es-ES_tradnl" w:eastAsia="es-ES"/>
        </w:rPr>
        <w:t xml:space="preserve">Que con fecha </w:t>
      </w:r>
      <w:r w:rsidRPr="00580268">
        <w:rPr>
          <w:rFonts w:ascii="Times New Roman" w:eastAsiaTheme="minorEastAsia" w:hAnsi="Times New Roman" w:cs="Times New Roman"/>
          <w:snapToGrid w:val="0"/>
          <w:sz w:val="24"/>
          <w:szCs w:val="24"/>
          <w:lang w:val="es-ES_tradnl" w:eastAsia="es-ES"/>
        </w:rPr>
        <w:t>27 de abril de 2010 el recurrente interpone demanda de hábeas data contra Telefónica del Perú S.A. solicitando que se entreguen copias certificadas de la siguiente información: a) las plazas vacantes y presupuestadas desde el año 2002 a la fecha; b) el cuadro de asignación de personal con las modificaciones que hubiera sufrido desde el año 2002 a la fecha; c) el cuadro analítico de personal y sus modificatorias desde el año 2002 a la fecha; d) el presupuesto analítico de personal y sus modificatorias desde el año 2002 a la fecha; e) la relación de las plazas vacantes y presupuestadas generadas desde el año 2002 a la fecha; f) la relación de plazas vacantes y presupuestadas ocupadas por contrato administrativo de servicios o contrato de plazo indeterminado desde el año 2002 a la fecha; g) la relación de plazas vacantes y presupuestadas por personal contratado sujeto a modalidad o por servicios no personales. Denuncia la violación de su derecho de acceso a la información pública.</w:t>
      </w:r>
    </w:p>
    <w:p w:rsidR="00580268" w:rsidRPr="00580268" w:rsidRDefault="00580268" w:rsidP="00580268">
      <w:pPr>
        <w:ind w:left="360" w:right="-3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w:t>
      </w:r>
    </w:p>
    <w:p w:rsidR="00580268" w:rsidRPr="00580268" w:rsidRDefault="00580268" w:rsidP="00580268">
      <w:pPr>
        <w:ind w:left="360" w:right="-30" w:hanging="36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2.</w:t>
      </w:r>
      <w:r w:rsidRPr="00580268">
        <w:rPr>
          <w:rFonts w:ascii="Times New Roman" w:eastAsiaTheme="minorEastAsia" w:hAnsi="Times New Roman" w:cs="Times New Roman"/>
          <w:sz w:val="14"/>
          <w:szCs w:val="14"/>
          <w:lang w:val="es-ES_tradnl" w:eastAsia="es-ES"/>
        </w:rPr>
        <w:t xml:space="preserve">      </w:t>
      </w:r>
      <w:r w:rsidRPr="00580268">
        <w:rPr>
          <w:rFonts w:ascii="Times New Roman" w:eastAsiaTheme="minorEastAsia" w:hAnsi="Times New Roman" w:cs="Times New Roman"/>
          <w:sz w:val="24"/>
          <w:szCs w:val="24"/>
          <w:lang w:val="es-ES_tradnl" w:eastAsia="es-ES"/>
        </w:rPr>
        <w:t xml:space="preserve">Que </w:t>
      </w:r>
      <w:r w:rsidRPr="00580268">
        <w:rPr>
          <w:rFonts w:ascii="Times New Roman" w:eastAsiaTheme="minorEastAsia" w:hAnsi="Times New Roman" w:cs="Times New Roman"/>
          <w:snapToGrid w:val="0"/>
          <w:sz w:val="24"/>
          <w:szCs w:val="24"/>
          <w:lang w:val="es-ES_tradnl" w:eastAsia="es-ES"/>
        </w:rPr>
        <w:t>el Cuarto Juzgado Constitucional de Lima, con fecha 31 de mayo de 2010,</w:t>
      </w:r>
      <w:r w:rsidRPr="00580268">
        <w:rPr>
          <w:rFonts w:ascii="Times New Roman" w:eastAsiaTheme="minorEastAsia" w:hAnsi="Times New Roman" w:cs="Times New Roman"/>
          <w:sz w:val="24"/>
          <w:szCs w:val="24"/>
          <w:lang w:val="es-ES_tradnl" w:eastAsia="es-ES"/>
        </w:rPr>
        <w:t xml:space="preserve"> declaró improcedente </w:t>
      </w:r>
      <w:r w:rsidRPr="00580268">
        <w:rPr>
          <w:rFonts w:ascii="Times New Roman" w:eastAsiaTheme="minorEastAsia" w:hAnsi="Times New Roman" w:cs="Times New Roman"/>
          <w:i/>
          <w:iCs/>
          <w:sz w:val="24"/>
          <w:szCs w:val="24"/>
          <w:lang w:val="es-ES_tradnl" w:eastAsia="es-ES"/>
        </w:rPr>
        <w:t>in límine</w:t>
      </w:r>
      <w:r w:rsidRPr="00580268">
        <w:rPr>
          <w:rFonts w:ascii="Times New Roman" w:eastAsiaTheme="minorEastAsia" w:hAnsi="Times New Roman" w:cs="Times New Roman"/>
          <w:sz w:val="24"/>
          <w:szCs w:val="24"/>
          <w:lang w:val="es-ES_tradnl" w:eastAsia="es-ES"/>
        </w:rPr>
        <w:t xml:space="preserve"> la demanda, en aplicación del artículo 5.1º del Código Procesal Constitucional, por considerar que la emplazada es una empresa privada y no una entidad pública. Por su parte, la Sexta Sala Civil de la Corte Superior de Justicia de Lima confirmó dicha decisión por el mismo fundamento</w:t>
      </w:r>
      <w:r w:rsidRPr="00580268">
        <w:rPr>
          <w:rFonts w:ascii="Times New Roman" w:eastAsiaTheme="minorEastAsia" w:hAnsi="Times New Roman" w:cs="Times New Roman"/>
          <w:snapToGrid w:val="0"/>
          <w:sz w:val="24"/>
          <w:szCs w:val="24"/>
          <w:lang w:val="es-ES_tradnl" w:eastAsia="es-ES"/>
        </w:rPr>
        <w:t>.</w:t>
      </w:r>
    </w:p>
    <w:p w:rsidR="00580268" w:rsidRPr="00580268" w:rsidRDefault="00580268" w:rsidP="00580268">
      <w:pPr>
        <w:ind w:left="708" w:firstLine="0"/>
        <w:jc w:val="left"/>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w:t>
      </w:r>
    </w:p>
    <w:p w:rsidR="00580268" w:rsidRPr="00580268" w:rsidRDefault="00580268" w:rsidP="00580268">
      <w:pPr>
        <w:ind w:left="360" w:right="-30" w:hanging="36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3.</w:t>
      </w:r>
      <w:r w:rsidRPr="00580268">
        <w:rPr>
          <w:rFonts w:ascii="Times New Roman" w:eastAsiaTheme="minorEastAsia" w:hAnsi="Times New Roman" w:cs="Times New Roman"/>
          <w:sz w:val="14"/>
          <w:szCs w:val="14"/>
          <w:lang w:val="es-ES_tradnl" w:eastAsia="es-ES"/>
        </w:rPr>
        <w:t xml:space="preserve">      </w:t>
      </w:r>
      <w:r w:rsidRPr="00580268">
        <w:rPr>
          <w:rFonts w:ascii="Times New Roman" w:eastAsiaTheme="minorEastAsia" w:hAnsi="Times New Roman" w:cs="Times New Roman"/>
          <w:sz w:val="24"/>
          <w:szCs w:val="24"/>
          <w:lang w:val="es-ES_tradnl" w:eastAsia="es-ES"/>
        </w:rPr>
        <w:t xml:space="preserve">Que </w:t>
      </w:r>
      <w:r w:rsidRPr="00580268">
        <w:rPr>
          <w:rFonts w:ascii="Times New Roman" w:eastAsiaTheme="minorEastAsia" w:hAnsi="Times New Roman" w:cs="Times New Roman"/>
          <w:snapToGrid w:val="0"/>
          <w:sz w:val="24"/>
          <w:szCs w:val="24"/>
          <w:lang w:val="es-ES_tradnl" w:eastAsia="es-ES"/>
        </w:rPr>
        <w:t xml:space="preserve">el derecho de acceso a la información pública, previsto en el inciso 5) del artículo 2º de la Constitución, supone –como este Tribunal Constitucional ha </w:t>
      </w:r>
      <w:r w:rsidRPr="00580268">
        <w:rPr>
          <w:rFonts w:ascii="Times New Roman" w:eastAsiaTheme="minorEastAsia" w:hAnsi="Times New Roman" w:cs="Times New Roman"/>
          <w:snapToGrid w:val="0"/>
          <w:sz w:val="24"/>
          <w:szCs w:val="24"/>
          <w:lang w:val="es-ES_tradnl" w:eastAsia="es-ES"/>
        </w:rPr>
        <w:lastRenderedPageBreak/>
        <w:t xml:space="preserve">establecido en reiterada jurisprudencia– </w:t>
      </w:r>
      <w:r w:rsidRPr="00580268">
        <w:rPr>
          <w:rFonts w:ascii="Times New Roman" w:eastAsiaTheme="minorEastAsia" w:hAnsi="Times New Roman" w:cs="Times New Roman"/>
          <w:sz w:val="24"/>
          <w:szCs w:val="24"/>
          <w:lang w:val="es-ES_tradnl" w:eastAsia="es-ES"/>
        </w:rPr>
        <w:t>la facultad que tiene toda persona de solicitar sin expresión de causa y acceder a la información que se encuentra en poder, principalmente, de las entidades estatales. En lo que respecta al acceso a la información que se encuentra en poder de entes no estatales, es decir, personas jurídicas de derecho privado, no toda la información que posean se encuentra exenta de ser conocida, ya que en atención al tipo de labor que realizan es posible que puedan detentar alguna que sea de naturaleza pública, y por ende susceptible de ser exigida y conocida por el público en general. En este contexto las personas jurídicas a quienes puede solicitarse este tipo de información son aquellas que, pese a encontrarse bajo el régimen privado, prestan servicios públicos o ejercen función administrativa de acuerdo con lo establecido en el inciso 8) del artículo 1º de la Ley N.º 27444, del Procedimiento Administrativo General.</w:t>
      </w:r>
    </w:p>
    <w:p w:rsidR="00580268" w:rsidRPr="00580268" w:rsidRDefault="00580268" w:rsidP="00580268">
      <w:pPr>
        <w:ind w:left="708" w:firstLine="0"/>
        <w:jc w:val="left"/>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w:t>
      </w:r>
    </w:p>
    <w:p w:rsidR="00580268" w:rsidRPr="00580268" w:rsidRDefault="00580268" w:rsidP="00580268">
      <w:pPr>
        <w:ind w:left="360" w:right="-30" w:hanging="36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4.</w:t>
      </w:r>
      <w:r w:rsidRPr="00580268">
        <w:rPr>
          <w:rFonts w:ascii="Times New Roman" w:eastAsiaTheme="minorEastAsia" w:hAnsi="Times New Roman" w:cs="Times New Roman"/>
          <w:sz w:val="14"/>
          <w:szCs w:val="14"/>
          <w:lang w:val="es-ES_tradnl" w:eastAsia="es-ES"/>
        </w:rPr>
        <w:t xml:space="preserve">      </w:t>
      </w:r>
      <w:r w:rsidRPr="00580268">
        <w:rPr>
          <w:rFonts w:ascii="Times New Roman" w:eastAsiaTheme="minorEastAsia" w:hAnsi="Times New Roman" w:cs="Times New Roman"/>
          <w:sz w:val="24"/>
          <w:szCs w:val="24"/>
          <w:lang w:val="es-ES_tradnl" w:eastAsia="es-ES"/>
        </w:rPr>
        <w:t xml:space="preserve">Que </w:t>
      </w:r>
      <w:r w:rsidRPr="00580268">
        <w:rPr>
          <w:rFonts w:ascii="Times New Roman" w:eastAsiaTheme="minorEastAsia" w:hAnsi="Times New Roman" w:cs="Times New Roman"/>
          <w:snapToGrid w:val="0"/>
          <w:sz w:val="24"/>
          <w:szCs w:val="24"/>
          <w:lang w:val="es-ES_tradnl" w:eastAsia="es-ES"/>
        </w:rPr>
        <w:t>de conformidad</w:t>
      </w:r>
      <w:r w:rsidRPr="00580268">
        <w:rPr>
          <w:rFonts w:ascii="Times New Roman" w:eastAsiaTheme="minorEastAsia" w:hAnsi="Times New Roman" w:cs="Times New Roman"/>
          <w:sz w:val="24"/>
          <w:szCs w:val="24"/>
          <w:lang w:val="es-ES_tradnl" w:eastAsia="es-ES"/>
        </w:rPr>
        <w:t xml:space="preserve"> con el fundamento 7 de la sentencia recaída en el Expediente N.º 00390-2007-PHD/TC y a tenor de lo dispuesto en el artículo 9º del Decreto Supremo N.º 043-2003-PCM, las personas jurídicas privadas que brinden servicios públicos o efectúen funciones administrativas están obligadas a informar sobre: </w:t>
      </w:r>
      <w:r w:rsidRPr="00580268">
        <w:rPr>
          <w:rFonts w:ascii="Times New Roman" w:eastAsiaTheme="minorEastAsia" w:hAnsi="Times New Roman" w:cs="Times New Roman"/>
          <w:b/>
          <w:bCs/>
          <w:sz w:val="24"/>
          <w:szCs w:val="24"/>
          <w:lang w:val="es-ES_tradnl" w:eastAsia="es-ES"/>
        </w:rPr>
        <w:t xml:space="preserve">a) </w:t>
      </w:r>
      <w:r w:rsidRPr="00580268">
        <w:rPr>
          <w:rFonts w:ascii="Times New Roman" w:eastAsiaTheme="minorEastAsia" w:hAnsi="Times New Roman" w:cs="Times New Roman"/>
          <w:sz w:val="24"/>
          <w:szCs w:val="24"/>
          <w:lang w:val="es-ES_tradnl" w:eastAsia="es-ES"/>
        </w:rPr>
        <w:t xml:space="preserve">las características de los servicios públicos que prestan; </w:t>
      </w:r>
      <w:r w:rsidRPr="00580268">
        <w:rPr>
          <w:rFonts w:ascii="Times New Roman" w:eastAsiaTheme="minorEastAsia" w:hAnsi="Times New Roman" w:cs="Times New Roman"/>
          <w:b/>
          <w:bCs/>
          <w:sz w:val="24"/>
          <w:szCs w:val="24"/>
          <w:lang w:val="es-ES_tradnl" w:eastAsia="es-ES"/>
        </w:rPr>
        <w:t xml:space="preserve">b) </w:t>
      </w:r>
      <w:r w:rsidRPr="00580268">
        <w:rPr>
          <w:rFonts w:ascii="Times New Roman" w:eastAsiaTheme="minorEastAsia" w:hAnsi="Times New Roman" w:cs="Times New Roman"/>
          <w:sz w:val="24"/>
          <w:szCs w:val="24"/>
          <w:lang w:val="es-ES_tradnl" w:eastAsia="es-ES"/>
        </w:rPr>
        <w:t xml:space="preserve">sus tarifas; y </w:t>
      </w:r>
      <w:r w:rsidRPr="00580268">
        <w:rPr>
          <w:rFonts w:ascii="Times New Roman" w:eastAsiaTheme="minorEastAsia" w:hAnsi="Times New Roman" w:cs="Times New Roman"/>
          <w:b/>
          <w:bCs/>
          <w:sz w:val="24"/>
          <w:szCs w:val="24"/>
          <w:lang w:val="es-ES_tradnl" w:eastAsia="es-ES"/>
        </w:rPr>
        <w:t xml:space="preserve">c) </w:t>
      </w:r>
      <w:r w:rsidRPr="00580268">
        <w:rPr>
          <w:rFonts w:ascii="Times New Roman" w:eastAsiaTheme="minorEastAsia" w:hAnsi="Times New Roman" w:cs="Times New Roman"/>
          <w:sz w:val="24"/>
          <w:szCs w:val="24"/>
          <w:lang w:val="es-ES_tradnl" w:eastAsia="es-ES"/>
        </w:rPr>
        <w:t>las funciones administrativas que ejercen (bajo concesión, delegación o autorización del Estado). Lo que supone que la información accesible siempre habrá de referirse a alguno de estos tres aspectos y no a otros, siendo éste el ámbito de información que puede solicitarse a una persona jurídica de derecho privado.</w:t>
      </w:r>
    </w:p>
    <w:p w:rsidR="00580268" w:rsidRPr="00580268" w:rsidRDefault="00580268" w:rsidP="00580268">
      <w:pPr>
        <w:ind w:left="708" w:firstLine="0"/>
        <w:jc w:val="left"/>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w:t>
      </w:r>
    </w:p>
    <w:p w:rsidR="00580268" w:rsidRPr="00580268" w:rsidRDefault="00580268" w:rsidP="00580268">
      <w:pPr>
        <w:ind w:left="360" w:right="-30" w:hanging="36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5.</w:t>
      </w:r>
      <w:r w:rsidRPr="00580268">
        <w:rPr>
          <w:rFonts w:ascii="Times New Roman" w:eastAsiaTheme="minorEastAsia" w:hAnsi="Times New Roman" w:cs="Times New Roman"/>
          <w:sz w:val="14"/>
          <w:szCs w:val="14"/>
          <w:lang w:val="es-ES_tradnl" w:eastAsia="es-ES"/>
        </w:rPr>
        <w:t xml:space="preserve">      </w:t>
      </w:r>
      <w:r w:rsidRPr="00580268">
        <w:rPr>
          <w:rFonts w:ascii="Times New Roman" w:eastAsiaTheme="minorEastAsia" w:hAnsi="Times New Roman" w:cs="Times New Roman"/>
          <w:sz w:val="24"/>
          <w:szCs w:val="24"/>
          <w:lang w:val="es-ES_tradnl" w:eastAsia="es-ES"/>
        </w:rPr>
        <w:t xml:space="preserve">Que si bien </w:t>
      </w:r>
      <w:r w:rsidRPr="00580268">
        <w:rPr>
          <w:rFonts w:ascii="Times New Roman" w:eastAsiaTheme="minorEastAsia" w:hAnsi="Times New Roman" w:cs="Times New Roman"/>
          <w:snapToGrid w:val="0"/>
          <w:sz w:val="24"/>
          <w:szCs w:val="24"/>
          <w:lang w:val="es-ES_tradnl" w:eastAsia="es-ES"/>
        </w:rPr>
        <w:t xml:space="preserve">el servicio de telefonía que presta la empresa emplazada se configura como un servicio público, sin embargo la información solicitada por el recurrente –cuadros analítico y de asignación de personal, número y relación de plazas vacantes, tipo de contrataciones, entre otras– no se encuentra referida </w:t>
      </w:r>
      <w:r w:rsidRPr="00580268">
        <w:rPr>
          <w:rFonts w:ascii="Times New Roman" w:eastAsiaTheme="minorEastAsia" w:hAnsi="Times New Roman" w:cs="Times New Roman"/>
          <w:sz w:val="24"/>
          <w:szCs w:val="24"/>
          <w:lang w:val="es-ES_tradnl" w:eastAsia="es-ES"/>
        </w:rPr>
        <w:t xml:space="preserve">a los supuestos a los que se ha hecho mención en el considerando 4, </w:t>
      </w:r>
      <w:r w:rsidRPr="00580268">
        <w:rPr>
          <w:rFonts w:ascii="Times New Roman" w:eastAsiaTheme="minorEastAsia" w:hAnsi="Times New Roman" w:cs="Times New Roman"/>
          <w:i/>
          <w:iCs/>
          <w:sz w:val="24"/>
          <w:szCs w:val="24"/>
          <w:lang w:val="es-ES_tradnl" w:eastAsia="es-ES"/>
        </w:rPr>
        <w:t>supra</w:t>
      </w:r>
      <w:r w:rsidRPr="00580268">
        <w:rPr>
          <w:rFonts w:ascii="Times New Roman" w:eastAsiaTheme="minorEastAsia" w:hAnsi="Times New Roman" w:cs="Times New Roman"/>
          <w:sz w:val="24"/>
          <w:szCs w:val="24"/>
          <w:lang w:val="es-ES_tradnl" w:eastAsia="es-ES"/>
        </w:rPr>
        <w:t xml:space="preserve">, pues se trata de </w:t>
      </w:r>
      <w:r w:rsidRPr="00580268">
        <w:rPr>
          <w:rFonts w:ascii="Times New Roman" w:eastAsiaTheme="minorEastAsia" w:hAnsi="Times New Roman" w:cs="Times New Roman"/>
          <w:snapToGrid w:val="0"/>
          <w:sz w:val="24"/>
          <w:szCs w:val="24"/>
          <w:lang w:val="es-ES_tradnl" w:eastAsia="es-ES"/>
        </w:rPr>
        <w:t>información que corresponde a la organización interna de la empresa.</w:t>
      </w:r>
    </w:p>
    <w:p w:rsidR="00580268" w:rsidRPr="00580268" w:rsidRDefault="00580268" w:rsidP="00580268">
      <w:pPr>
        <w:ind w:left="708" w:firstLine="0"/>
        <w:jc w:val="left"/>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w:t>
      </w:r>
    </w:p>
    <w:p w:rsidR="00580268" w:rsidRPr="00580268" w:rsidRDefault="00580268" w:rsidP="00580268">
      <w:pPr>
        <w:ind w:left="360" w:right="-30" w:hanging="36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6.</w:t>
      </w:r>
      <w:r w:rsidRPr="00580268">
        <w:rPr>
          <w:rFonts w:ascii="Times New Roman" w:eastAsiaTheme="minorEastAsia" w:hAnsi="Times New Roman" w:cs="Times New Roman"/>
          <w:sz w:val="14"/>
          <w:szCs w:val="14"/>
          <w:lang w:val="es-ES_tradnl" w:eastAsia="es-ES"/>
        </w:rPr>
        <w:t xml:space="preserve">      </w:t>
      </w:r>
      <w:r w:rsidRPr="00580268">
        <w:rPr>
          <w:rFonts w:ascii="Times New Roman" w:eastAsiaTheme="minorEastAsia" w:hAnsi="Times New Roman" w:cs="Times New Roman"/>
          <w:sz w:val="24"/>
          <w:szCs w:val="24"/>
          <w:lang w:val="es-ES_tradnl" w:eastAsia="es-ES"/>
        </w:rPr>
        <w:t>Que en consecuencia la demanda debe ser desestimada en aplicación del artículo 5.1º del Código Procesal Constitucional, toda vez que los hechos y el petitorio no inciden en forma directa en el contenido constitucionalmente protegido del invocado derecho de acceso a la información pública.</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Por estas consideraciones, el Tribunal Constitucional, con la autoridad que le confiere la Constitución Política del Perú</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b/>
          <w:bCs/>
          <w:sz w:val="24"/>
          <w:szCs w:val="24"/>
          <w:lang w:val="es-ES_tradnl" w:eastAsia="es-ES"/>
        </w:rPr>
        <w:t>RESUELVE</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w:t>
      </w:r>
    </w:p>
    <w:p w:rsidR="00580268" w:rsidRPr="00580268" w:rsidRDefault="00580268" w:rsidP="00580268">
      <w:pPr>
        <w:ind w:left="15"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 xml:space="preserve">Declarar </w:t>
      </w:r>
      <w:r w:rsidRPr="00580268">
        <w:rPr>
          <w:rFonts w:ascii="Times New Roman" w:eastAsiaTheme="minorEastAsia" w:hAnsi="Times New Roman" w:cs="Times New Roman"/>
          <w:b/>
          <w:bCs/>
          <w:sz w:val="24"/>
          <w:szCs w:val="24"/>
          <w:lang w:val="es-ES_tradnl" w:eastAsia="es-ES"/>
        </w:rPr>
        <w:t>IMPROCEDENTE</w:t>
      </w:r>
      <w:r w:rsidRPr="00580268">
        <w:rPr>
          <w:rFonts w:ascii="Times New Roman" w:eastAsiaTheme="minorEastAsia" w:hAnsi="Times New Roman" w:cs="Times New Roman"/>
          <w:sz w:val="24"/>
          <w:szCs w:val="24"/>
          <w:lang w:val="es-ES_tradnl" w:eastAsia="es-ES"/>
        </w:rPr>
        <w:t xml:space="preserve"> la demanda.</w:t>
      </w:r>
    </w:p>
    <w:p w:rsidR="00580268" w:rsidRPr="00580268" w:rsidRDefault="00580268" w:rsidP="00580268">
      <w:pPr>
        <w:ind w:left="375"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lastRenderedPageBreak/>
        <w:t> </w:t>
      </w:r>
    </w:p>
    <w:p w:rsidR="00580268" w:rsidRPr="00580268" w:rsidRDefault="00580268" w:rsidP="00580268">
      <w:pPr>
        <w:ind w:left="0" w:firstLine="0"/>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val="es-ES_tradnl" w:eastAsia="es-ES"/>
        </w:rPr>
        <w:t>Publíquese y notifíquese.</w:t>
      </w:r>
    </w:p>
    <w:p w:rsidR="00580268" w:rsidRPr="00580268" w:rsidRDefault="00580268" w:rsidP="00580268">
      <w:pPr>
        <w:ind w:left="0" w:firstLine="0"/>
        <w:rPr>
          <w:rFonts w:ascii="Times New Roman" w:eastAsiaTheme="minorEastAsia" w:hAnsi="Times New Roman" w:cs="Times New Roman"/>
          <w:sz w:val="24"/>
          <w:szCs w:val="24"/>
          <w:lang w:val="es-ES_tradnl" w:eastAsia="es-ES"/>
        </w:rPr>
      </w:pPr>
      <w:r w:rsidRPr="00580268">
        <w:rPr>
          <w:rFonts w:ascii="Times New Roman" w:eastAsiaTheme="minorEastAsia" w:hAnsi="Times New Roman" w:cs="Times New Roman"/>
          <w:sz w:val="24"/>
          <w:szCs w:val="24"/>
          <w:lang w:val="es-ES_tradnl" w:eastAsia="es-ES"/>
        </w:rPr>
        <w:t> </w:t>
      </w:r>
    </w:p>
    <w:p w:rsidR="00580268" w:rsidRPr="00580268" w:rsidRDefault="00580268" w:rsidP="00580268">
      <w:pPr>
        <w:ind w:left="0" w:firstLine="0"/>
        <w:rPr>
          <w:rFonts w:ascii="Times New Roman" w:eastAsiaTheme="minorEastAsia" w:hAnsi="Times New Roman" w:cs="Times New Roman"/>
          <w:sz w:val="24"/>
          <w:szCs w:val="24"/>
          <w:lang w:eastAsia="es-ES"/>
        </w:rPr>
      </w:pPr>
    </w:p>
    <w:p w:rsidR="00580268" w:rsidRPr="00580268" w:rsidRDefault="00580268" w:rsidP="00580268">
      <w:pPr>
        <w:ind w:left="0" w:firstLine="0"/>
        <w:jc w:val="left"/>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eastAsia="es-ES"/>
        </w:rPr>
        <w:t>SS.</w:t>
      </w:r>
    </w:p>
    <w:p w:rsidR="00580268" w:rsidRPr="00580268" w:rsidRDefault="00580268" w:rsidP="00580268">
      <w:pPr>
        <w:ind w:left="0" w:firstLine="0"/>
        <w:jc w:val="left"/>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sz w:val="24"/>
          <w:szCs w:val="24"/>
          <w:lang w:eastAsia="es-ES"/>
        </w:rPr>
        <w:t> </w:t>
      </w:r>
    </w:p>
    <w:p w:rsidR="00580268" w:rsidRPr="00580268" w:rsidRDefault="00580268" w:rsidP="00580268">
      <w:pPr>
        <w:ind w:left="0" w:firstLine="0"/>
        <w:jc w:val="left"/>
        <w:rPr>
          <w:rFonts w:ascii="Calibri" w:eastAsiaTheme="minorEastAsia" w:hAnsi="Calibri" w:cs="Times New Roman"/>
          <w:lang w:eastAsia="es-ES"/>
        </w:rPr>
      </w:pPr>
      <w:r w:rsidRPr="00580268">
        <w:rPr>
          <w:rFonts w:ascii="Times New Roman" w:eastAsiaTheme="minorEastAsia" w:hAnsi="Times New Roman" w:cs="Times New Roman"/>
          <w:b/>
          <w:bCs/>
          <w:sz w:val="24"/>
          <w:szCs w:val="24"/>
          <w:lang w:eastAsia="es-ES"/>
        </w:rPr>
        <w:t>ETO CRUZ</w:t>
      </w:r>
    </w:p>
    <w:p w:rsidR="00580268" w:rsidRPr="00580268" w:rsidRDefault="00580268" w:rsidP="00580268">
      <w:pPr>
        <w:ind w:left="0" w:firstLine="0"/>
        <w:jc w:val="left"/>
        <w:rPr>
          <w:rFonts w:ascii="Calibri" w:eastAsiaTheme="minorEastAsia" w:hAnsi="Calibri" w:cs="Times New Roman"/>
          <w:lang w:eastAsia="es-ES"/>
        </w:rPr>
      </w:pPr>
      <w:r w:rsidRPr="00580268">
        <w:rPr>
          <w:rFonts w:ascii="Times New Roman" w:eastAsiaTheme="minorEastAsia" w:hAnsi="Times New Roman" w:cs="Times New Roman"/>
          <w:b/>
          <w:bCs/>
          <w:sz w:val="24"/>
          <w:szCs w:val="24"/>
          <w:lang w:val="en-US" w:eastAsia="es-ES"/>
        </w:rPr>
        <w:t>VERGARA GOTELLI</w:t>
      </w:r>
    </w:p>
    <w:p w:rsidR="00580268" w:rsidRPr="00580268" w:rsidRDefault="00580268" w:rsidP="00580268">
      <w:pPr>
        <w:ind w:left="0" w:firstLine="0"/>
        <w:jc w:val="left"/>
        <w:rPr>
          <w:rFonts w:ascii="Calibri" w:eastAsiaTheme="minorEastAsia" w:hAnsi="Calibri" w:cs="Times New Roman"/>
          <w:lang w:eastAsia="es-ES"/>
        </w:rPr>
      </w:pPr>
      <w:r w:rsidRPr="00580268">
        <w:rPr>
          <w:rFonts w:ascii="Times New Roman" w:eastAsiaTheme="minorEastAsia" w:hAnsi="Times New Roman" w:cs="Times New Roman"/>
          <w:b/>
          <w:bCs/>
          <w:sz w:val="24"/>
          <w:szCs w:val="24"/>
          <w:lang w:val="en-US" w:eastAsia="es-ES"/>
        </w:rPr>
        <w:t>URVIOLA HANI</w:t>
      </w:r>
    </w:p>
    <w:p w:rsidR="00580268" w:rsidRPr="00580268" w:rsidRDefault="00580268" w:rsidP="00580268">
      <w:pPr>
        <w:ind w:left="0" w:firstLine="0"/>
        <w:jc w:val="left"/>
        <w:rPr>
          <w:rFonts w:ascii="Times New Roman" w:eastAsia="Times New Roman" w:hAnsi="Times New Roman" w:cs="Times New Roman"/>
          <w:sz w:val="24"/>
          <w:szCs w:val="24"/>
          <w:lang w:eastAsia="es-ES"/>
        </w:rPr>
      </w:pPr>
    </w:p>
    <w:p w:rsidR="00580268" w:rsidRPr="00580268" w:rsidRDefault="00580268" w:rsidP="00580268">
      <w:pPr>
        <w:ind w:left="0" w:firstLine="0"/>
        <w:jc w:val="left"/>
        <w:rPr>
          <w:rFonts w:ascii="Times New Roman" w:eastAsiaTheme="minorEastAsia" w:hAnsi="Times New Roman" w:cs="Times New Roman"/>
          <w:sz w:val="24"/>
          <w:szCs w:val="24"/>
          <w:lang w:eastAsia="es-ES"/>
        </w:rPr>
      </w:pPr>
      <w:r w:rsidRPr="00580268">
        <w:rPr>
          <w:rFonts w:ascii="Times New Roman" w:eastAsiaTheme="minorEastAsia" w:hAnsi="Times New Roman" w:cs="Times New Roman"/>
          <w:b/>
          <w:bCs/>
          <w:sz w:val="24"/>
          <w:szCs w:val="24"/>
          <w:lang w:val="en-U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580268"/>
    <w:rsid w:val="00063A9D"/>
    <w:rsid w:val="00146A8F"/>
    <w:rsid w:val="00253CBF"/>
    <w:rsid w:val="004432C1"/>
    <w:rsid w:val="00580268"/>
    <w:rsid w:val="00622AAC"/>
    <w:rsid w:val="00657103"/>
    <w:rsid w:val="008D645C"/>
    <w:rsid w:val="00A41DC0"/>
    <w:rsid w:val="00C50461"/>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580268"/>
    <w:pPr>
      <w:keepNext/>
      <w:ind w:left="360" w:hanging="360"/>
      <w:outlineLvl w:val="0"/>
    </w:pPr>
    <w:rPr>
      <w:rFonts w:ascii="Times New Roman" w:eastAsiaTheme="minorEastAsia" w:hAnsi="Times New Roman" w:cs="Times New Roman"/>
      <w:kern w:val="3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0268"/>
    <w:rPr>
      <w:rFonts w:ascii="Times New Roman" w:eastAsiaTheme="minorEastAsia" w:hAnsi="Times New Roman" w:cs="Times New Roman"/>
      <w:kern w:val="36"/>
      <w:sz w:val="24"/>
      <w:szCs w:val="24"/>
      <w:lang w:eastAsia="es-ES"/>
    </w:rPr>
  </w:style>
  <w:style w:type="paragraph" w:styleId="Sinespaciado">
    <w:name w:val="No Spacing"/>
    <w:basedOn w:val="Normal"/>
    <w:uiPriority w:val="1"/>
    <w:qFormat/>
    <w:rsid w:val="00580268"/>
    <w:pPr>
      <w:ind w:left="0" w:firstLine="0"/>
      <w:jc w:val="left"/>
    </w:pPr>
    <w:rPr>
      <w:rFonts w:ascii="Calibri" w:eastAsiaTheme="minorEastAsia" w:hAnsi="Calibri" w:cs="Times New Roman"/>
      <w:lang w:val="es-ES" w:eastAsia="es-ES"/>
    </w:rPr>
  </w:style>
  <w:style w:type="paragraph" w:styleId="Prrafodelista">
    <w:name w:val="List Paragraph"/>
    <w:basedOn w:val="Normal"/>
    <w:uiPriority w:val="34"/>
    <w:qFormat/>
    <w:rsid w:val="00580268"/>
    <w:pPr>
      <w:ind w:left="708" w:firstLine="0"/>
      <w:jc w:val="left"/>
    </w:pPr>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7490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2BECADBC-5072-48BF-9857-6DF554C44118}"/>
</file>

<file path=customXml/itemProps2.xml><?xml version="1.0" encoding="utf-8"?>
<ds:datastoreItem xmlns:ds="http://schemas.openxmlformats.org/officeDocument/2006/customXml" ds:itemID="{6BADC435-F072-4555-B00F-8D5EC727B9E1}"/>
</file>

<file path=customXml/itemProps3.xml><?xml version="1.0" encoding="utf-8"?>
<ds:datastoreItem xmlns:ds="http://schemas.openxmlformats.org/officeDocument/2006/customXml" ds:itemID="{6608F5CF-159E-40F8-8F06-722CDE0CCBF5}"/>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4063</Characters>
  <Application>Microsoft Office Word</Application>
  <DocSecurity>0</DocSecurity>
  <Lines>33</Lines>
  <Paragraphs>9</Paragraphs>
  <ScaleCrop>false</ScaleCrop>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01143-2011-PHD-TC</dc:title>
  <dc:subject/>
  <dc:creator>jmaganr</dc:creator>
  <cp:keywords>Perú</cp:keywords>
  <dc:description/>
  <cp:lastModifiedBy>jmaganr</cp:lastModifiedBy>
  <cp:revision>2</cp:revision>
  <dcterms:created xsi:type="dcterms:W3CDTF">2014-01-31T23:12:00Z</dcterms:created>
  <dcterms:modified xsi:type="dcterms:W3CDTF">2014-01-31T23:12:00Z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