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EE" w:rsidRPr="00C02759" w:rsidRDefault="00AC7955" w:rsidP="00AC7955">
      <w:pPr>
        <w:spacing w:after="0" w:line="240" w:lineRule="auto"/>
        <w:jc w:val="center"/>
        <w:rPr>
          <w:rStyle w:val="Ttulodellibro"/>
          <w:rFonts w:ascii="Palatino Linotype" w:hAnsi="Palatino Linotype"/>
          <w:sz w:val="24"/>
          <w:szCs w:val="24"/>
        </w:rPr>
      </w:pPr>
      <w:r w:rsidRPr="00C02759">
        <w:rPr>
          <w:rStyle w:val="Ttulodellibro"/>
          <w:rFonts w:ascii="Palatino Linotype" w:hAnsi="Palatino Linotype"/>
          <w:sz w:val="24"/>
          <w:szCs w:val="24"/>
        </w:rPr>
        <w:t>Primer Debate Temático</w:t>
      </w:r>
    </w:p>
    <w:p w:rsidR="00AC7955" w:rsidRPr="00C02759" w:rsidRDefault="00AC7955" w:rsidP="00AC7955">
      <w:pPr>
        <w:spacing w:after="0" w:line="240" w:lineRule="auto"/>
        <w:jc w:val="center"/>
        <w:rPr>
          <w:rFonts w:ascii="Palatino Linotype" w:hAnsi="Palatino Linotype"/>
          <w:b/>
          <w:sz w:val="24"/>
          <w:szCs w:val="24"/>
          <w:u w:val="single"/>
        </w:rPr>
      </w:pPr>
    </w:p>
    <w:p w:rsidR="00AC7955" w:rsidRPr="00C02759" w:rsidRDefault="00AC7955" w:rsidP="00AC7955">
      <w:pPr>
        <w:spacing w:after="0" w:line="240" w:lineRule="auto"/>
        <w:jc w:val="center"/>
        <w:rPr>
          <w:rFonts w:ascii="Palatino Linotype" w:hAnsi="Palatino Linotype"/>
          <w:b/>
          <w:sz w:val="24"/>
          <w:szCs w:val="24"/>
          <w:u w:val="single"/>
        </w:rPr>
      </w:pPr>
      <w:r w:rsidRPr="00C02759">
        <w:rPr>
          <w:rFonts w:ascii="Palatino Linotype" w:hAnsi="Palatino Linotype"/>
          <w:b/>
          <w:sz w:val="24"/>
          <w:szCs w:val="24"/>
          <w:u w:val="single"/>
        </w:rPr>
        <w:t xml:space="preserve">Hoja de Datos </w:t>
      </w:r>
    </w:p>
    <w:p w:rsidR="00AC7955" w:rsidRPr="00C02759" w:rsidRDefault="00AC7955" w:rsidP="00AC7955">
      <w:pPr>
        <w:spacing w:after="0" w:line="240" w:lineRule="auto"/>
        <w:jc w:val="center"/>
        <w:rPr>
          <w:rFonts w:ascii="Palatino Linotype" w:hAnsi="Palatino Linotype"/>
          <w:b/>
          <w:sz w:val="24"/>
          <w:szCs w:val="24"/>
          <w:u w:val="single"/>
        </w:rPr>
      </w:pPr>
    </w:p>
    <w:p w:rsidR="00522F6E" w:rsidRPr="00C02759" w:rsidRDefault="00522F6E" w:rsidP="00522F6E">
      <w:pPr>
        <w:pStyle w:val="Prrafodelista"/>
        <w:spacing w:after="0" w:line="240" w:lineRule="auto"/>
        <w:jc w:val="both"/>
        <w:rPr>
          <w:rFonts w:ascii="Palatino Linotype" w:hAnsi="Palatino Linotype"/>
          <w:b/>
          <w:sz w:val="24"/>
          <w:szCs w:val="24"/>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882082" w:rsidRPr="00C02759" w:rsidTr="00AC7955">
        <w:tc>
          <w:tcPr>
            <w:tcW w:w="8978" w:type="dxa"/>
            <w:gridSpan w:val="2"/>
            <w:shd w:val="clear" w:color="auto" w:fill="D9D9D9" w:themeFill="background1" w:themeFillShade="D9"/>
          </w:tcPr>
          <w:p w:rsidR="00882082" w:rsidRPr="00C02759" w:rsidRDefault="008E056E" w:rsidP="008E056E">
            <w:pPr>
              <w:spacing w:after="0" w:line="240" w:lineRule="auto"/>
              <w:jc w:val="center"/>
              <w:rPr>
                <w:rFonts w:ascii="Palatino Linotype" w:eastAsia="Times New Roman" w:hAnsi="Palatino Linotype" w:cs="Arial"/>
                <w:b/>
                <w:iCs/>
                <w:sz w:val="24"/>
                <w:szCs w:val="24"/>
              </w:rPr>
            </w:pPr>
            <w:r w:rsidRPr="00C02759">
              <w:rPr>
                <w:rFonts w:ascii="Palatino Linotype" w:eastAsia="Calibri" w:hAnsi="Palatino Linotype" w:cs="Times New Roman"/>
                <w:b/>
                <w:color w:val="000000"/>
                <w:sz w:val="24"/>
                <w:szCs w:val="24"/>
              </w:rPr>
              <w:t xml:space="preserve">Prueba de daño </w:t>
            </w:r>
          </w:p>
        </w:tc>
      </w:tr>
      <w:tr w:rsidR="00522F6E" w:rsidRPr="00C02759" w:rsidTr="00882082">
        <w:tc>
          <w:tcPr>
            <w:tcW w:w="2093" w:type="dxa"/>
            <w:shd w:val="clear" w:color="auto" w:fill="auto"/>
          </w:tcPr>
          <w:p w:rsidR="00522F6E" w:rsidRPr="00C02759" w:rsidRDefault="005E04AA"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t xml:space="preserve">Breve </w:t>
            </w:r>
            <w:r w:rsidR="00882082" w:rsidRPr="00C02759">
              <w:rPr>
                <w:rFonts w:ascii="Palatino Linotype" w:eastAsia="Calibri" w:hAnsi="Palatino Linotype" w:cs="Times New Roman"/>
                <w:b/>
                <w:sz w:val="24"/>
                <w:szCs w:val="24"/>
                <w:lang w:val="es-MX"/>
              </w:rPr>
              <w:t>Descripción</w:t>
            </w:r>
          </w:p>
        </w:tc>
        <w:tc>
          <w:tcPr>
            <w:tcW w:w="6885" w:type="dxa"/>
            <w:shd w:val="clear" w:color="auto" w:fill="auto"/>
          </w:tcPr>
          <w:p w:rsidR="00AC7955" w:rsidRPr="00C02759" w:rsidRDefault="00AC7955" w:rsidP="00AC7955">
            <w:pPr>
              <w:jc w:val="both"/>
              <w:rPr>
                <w:rFonts w:ascii="Palatino Linotype" w:eastAsia="Times New Roman" w:hAnsi="Palatino Linotype" w:cs="Arial"/>
                <w:sz w:val="24"/>
                <w:szCs w:val="24"/>
                <w:lang w:val="es-MX" w:eastAsia="es-ES"/>
              </w:rPr>
            </w:pPr>
            <w:r w:rsidRPr="00C02759">
              <w:rPr>
                <w:rFonts w:ascii="Palatino Linotype" w:eastAsia="Times New Roman" w:hAnsi="Palatino Linotype" w:cs="Arial"/>
                <w:sz w:val="24"/>
                <w:szCs w:val="24"/>
                <w:lang w:val="es-MX" w:eastAsia="es-ES"/>
              </w:rPr>
              <w:t>Se considera que, a fin de delimitar nuestro tema, puedan desarrollarse brevemente algunas reflexiones que, a manera de pregunta, sirvan como facilitadores del debate, a saber:</w:t>
            </w:r>
          </w:p>
          <w:p w:rsidR="00AC7955" w:rsidRPr="003575EA" w:rsidRDefault="00AC7955" w:rsidP="00AC7955">
            <w:pPr>
              <w:pStyle w:val="Prrafodelista"/>
              <w:numPr>
                <w:ilvl w:val="0"/>
                <w:numId w:val="5"/>
              </w:numPr>
              <w:spacing w:after="0" w:line="240" w:lineRule="auto"/>
              <w:jc w:val="both"/>
              <w:rPr>
                <w:rFonts w:ascii="Palatino Linotype" w:eastAsia="Times New Roman" w:hAnsi="Palatino Linotype" w:cs="Arial"/>
                <w:b/>
                <w:sz w:val="24"/>
                <w:szCs w:val="24"/>
                <w:lang w:val="es-MX" w:eastAsia="es-ES"/>
              </w:rPr>
            </w:pPr>
            <w:r w:rsidRPr="003575EA">
              <w:rPr>
                <w:rFonts w:ascii="Palatino Linotype" w:eastAsia="Times New Roman" w:hAnsi="Palatino Linotype" w:cs="Arial"/>
                <w:b/>
                <w:sz w:val="24"/>
                <w:szCs w:val="24"/>
                <w:lang w:val="es-MX" w:eastAsia="es-ES"/>
              </w:rPr>
              <w:t>¿Es obligatoria la prueba de daño?</w:t>
            </w:r>
          </w:p>
          <w:p w:rsidR="00AA6449" w:rsidRPr="00C02759" w:rsidRDefault="00AA6449" w:rsidP="00AA6449">
            <w:pPr>
              <w:pStyle w:val="Prrafodelista"/>
              <w:spacing w:after="0" w:line="240" w:lineRule="auto"/>
              <w:jc w:val="both"/>
              <w:rPr>
                <w:rFonts w:ascii="Palatino Linotype" w:eastAsia="Times New Roman" w:hAnsi="Palatino Linotype" w:cs="Arial"/>
                <w:sz w:val="24"/>
                <w:szCs w:val="24"/>
                <w:lang w:val="es-MX" w:eastAsia="es-ES"/>
              </w:rPr>
            </w:pPr>
          </w:p>
          <w:p w:rsidR="00300923" w:rsidRPr="003575EA" w:rsidRDefault="00300923" w:rsidP="003575EA">
            <w:pPr>
              <w:spacing w:after="0" w:line="240" w:lineRule="auto"/>
              <w:jc w:val="both"/>
              <w:rPr>
                <w:rFonts w:ascii="Palatino Linotype" w:eastAsia="Times New Roman" w:hAnsi="Palatino Linotype" w:cs="Arial"/>
                <w:sz w:val="24"/>
                <w:szCs w:val="24"/>
                <w:lang w:val="es-MX" w:eastAsia="es-ES"/>
              </w:rPr>
            </w:pPr>
            <w:r w:rsidRPr="003575EA">
              <w:rPr>
                <w:rFonts w:ascii="Palatino Linotype" w:eastAsia="Times New Roman" w:hAnsi="Palatino Linotype" w:cs="Arial"/>
                <w:sz w:val="24"/>
                <w:szCs w:val="24"/>
                <w:lang w:val="es-MX" w:eastAsia="es-ES"/>
              </w:rPr>
              <w:t xml:space="preserve">Sí, </w:t>
            </w:r>
            <w:r w:rsidR="0083647C">
              <w:rPr>
                <w:rFonts w:ascii="Palatino Linotype" w:eastAsia="Times New Roman" w:hAnsi="Palatino Linotype" w:cs="Arial"/>
                <w:sz w:val="24"/>
                <w:szCs w:val="24"/>
                <w:lang w:val="es-MX" w:eastAsia="es-ES"/>
              </w:rPr>
              <w:t xml:space="preserve">constituye </w:t>
            </w:r>
            <w:r w:rsidRPr="003575EA">
              <w:rPr>
                <w:rFonts w:ascii="Palatino Linotype" w:eastAsia="Times New Roman" w:hAnsi="Palatino Linotype" w:cs="Arial"/>
                <w:sz w:val="24"/>
                <w:szCs w:val="24"/>
                <w:lang w:val="es-MX" w:eastAsia="es-ES"/>
              </w:rPr>
              <w:t xml:space="preserve">una obligación del funcionario responsable de entregar la información, justificar adecuadamente la negativa parcial o total. Tarea que incluye </w:t>
            </w:r>
            <w:r w:rsidR="0083647C">
              <w:rPr>
                <w:rFonts w:ascii="Palatino Linotype" w:eastAsia="Times New Roman" w:hAnsi="Palatino Linotype" w:cs="Arial"/>
                <w:sz w:val="24"/>
                <w:szCs w:val="24"/>
                <w:lang w:val="es-MX" w:eastAsia="es-ES"/>
              </w:rPr>
              <w:t xml:space="preserve">justificar </w:t>
            </w:r>
            <w:r w:rsidRPr="003575EA">
              <w:rPr>
                <w:rFonts w:ascii="Palatino Linotype" w:eastAsia="Times New Roman" w:hAnsi="Palatino Linotype" w:cs="Arial"/>
                <w:sz w:val="24"/>
                <w:szCs w:val="24"/>
                <w:lang w:val="es-MX" w:eastAsia="es-ES"/>
              </w:rPr>
              <w:t>la “prueba del daño”</w:t>
            </w:r>
            <w:r w:rsidR="003575EA">
              <w:rPr>
                <w:rFonts w:ascii="Palatino Linotype" w:eastAsia="Times New Roman" w:hAnsi="Palatino Linotype" w:cs="Arial"/>
                <w:sz w:val="24"/>
                <w:szCs w:val="24"/>
                <w:lang w:val="es-MX" w:eastAsia="es-ES"/>
              </w:rPr>
              <w:t>, es decir, de qué manera la divulgación de la información puede</w:t>
            </w:r>
            <w:r w:rsidR="009101C4">
              <w:rPr>
                <w:rFonts w:ascii="Palatino Linotype" w:eastAsia="Times New Roman" w:hAnsi="Palatino Linotype" w:cs="Arial"/>
                <w:sz w:val="24"/>
                <w:szCs w:val="24"/>
                <w:lang w:val="es-MX" w:eastAsia="es-ES"/>
              </w:rPr>
              <w:t xml:space="preserve"> o no</w:t>
            </w:r>
            <w:r w:rsidR="003575EA">
              <w:rPr>
                <w:rFonts w:ascii="Palatino Linotype" w:eastAsia="Times New Roman" w:hAnsi="Palatino Linotype" w:cs="Arial"/>
                <w:sz w:val="24"/>
                <w:szCs w:val="24"/>
                <w:lang w:val="es-MX" w:eastAsia="es-ES"/>
              </w:rPr>
              <w:t xml:space="preserve"> afectar el principio o derecho protegido por la </w:t>
            </w:r>
            <w:r w:rsidR="0083647C">
              <w:rPr>
                <w:rFonts w:ascii="Palatino Linotype" w:eastAsia="Times New Roman" w:hAnsi="Palatino Linotype" w:cs="Arial"/>
                <w:sz w:val="24"/>
                <w:szCs w:val="24"/>
                <w:lang w:val="es-MX" w:eastAsia="es-ES"/>
              </w:rPr>
              <w:t>excepción o la regla de exclusión al acceso a la información pública</w:t>
            </w:r>
            <w:r w:rsidRPr="003575EA">
              <w:rPr>
                <w:rFonts w:ascii="Palatino Linotype" w:eastAsia="Times New Roman" w:hAnsi="Palatino Linotype" w:cs="Arial"/>
                <w:sz w:val="24"/>
                <w:szCs w:val="24"/>
                <w:lang w:val="es-MX" w:eastAsia="es-ES"/>
              </w:rPr>
              <w:t>.</w:t>
            </w:r>
          </w:p>
          <w:p w:rsidR="00AA6449" w:rsidRPr="00C02759" w:rsidRDefault="00AA6449" w:rsidP="00300923">
            <w:pPr>
              <w:pStyle w:val="Prrafodelista"/>
              <w:spacing w:after="0" w:line="240" w:lineRule="auto"/>
              <w:jc w:val="both"/>
              <w:rPr>
                <w:rFonts w:ascii="Palatino Linotype" w:eastAsia="Times New Roman" w:hAnsi="Palatino Linotype" w:cs="Arial"/>
                <w:sz w:val="24"/>
                <w:szCs w:val="24"/>
                <w:lang w:val="es-MX" w:eastAsia="es-ES"/>
              </w:rPr>
            </w:pPr>
          </w:p>
          <w:p w:rsidR="008E056E" w:rsidRPr="003575EA" w:rsidRDefault="00AC7955" w:rsidP="00AC7955">
            <w:pPr>
              <w:pStyle w:val="Prrafodelista"/>
              <w:numPr>
                <w:ilvl w:val="0"/>
                <w:numId w:val="5"/>
              </w:numPr>
              <w:spacing w:after="0" w:line="240" w:lineRule="auto"/>
              <w:jc w:val="both"/>
              <w:rPr>
                <w:rFonts w:ascii="Palatino Linotype" w:eastAsia="Times New Roman" w:hAnsi="Palatino Linotype" w:cs="Arial"/>
                <w:b/>
                <w:sz w:val="24"/>
                <w:szCs w:val="24"/>
                <w:lang w:val="es-MX" w:eastAsia="es-ES"/>
              </w:rPr>
            </w:pPr>
            <w:r w:rsidRPr="003575EA">
              <w:rPr>
                <w:rFonts w:ascii="Palatino Linotype" w:eastAsia="Times New Roman" w:hAnsi="Palatino Linotype" w:cs="Arial"/>
                <w:b/>
                <w:sz w:val="24"/>
                <w:szCs w:val="24"/>
                <w:lang w:val="es-MX" w:eastAsia="es-ES"/>
              </w:rPr>
              <w:t>¿Son conceptos diferentes la prueba de daño y la fundamentación y motivación?</w:t>
            </w:r>
          </w:p>
          <w:p w:rsidR="00300923" w:rsidRPr="00C02759" w:rsidRDefault="00300923" w:rsidP="00300923">
            <w:pPr>
              <w:pStyle w:val="Prrafodelista"/>
              <w:spacing w:after="0" w:line="240" w:lineRule="auto"/>
              <w:jc w:val="both"/>
              <w:rPr>
                <w:rFonts w:ascii="Palatino Linotype" w:eastAsia="Times New Roman" w:hAnsi="Palatino Linotype" w:cs="Arial"/>
                <w:sz w:val="24"/>
                <w:szCs w:val="24"/>
                <w:lang w:val="es-MX" w:eastAsia="es-ES"/>
              </w:rPr>
            </w:pPr>
          </w:p>
          <w:p w:rsidR="009101C4" w:rsidRDefault="00300923" w:rsidP="003575EA">
            <w:pPr>
              <w:spacing w:after="0" w:line="240" w:lineRule="auto"/>
              <w:jc w:val="both"/>
              <w:rPr>
                <w:rFonts w:ascii="Palatino Linotype" w:eastAsia="Times New Roman" w:hAnsi="Palatino Linotype" w:cs="Arial"/>
                <w:sz w:val="24"/>
                <w:szCs w:val="24"/>
                <w:lang w:val="es-MX" w:eastAsia="es-ES"/>
              </w:rPr>
            </w:pPr>
            <w:r w:rsidRPr="003575EA">
              <w:rPr>
                <w:rFonts w:ascii="Palatino Linotype" w:eastAsia="Times New Roman" w:hAnsi="Palatino Linotype" w:cs="Arial"/>
                <w:sz w:val="24"/>
                <w:szCs w:val="24"/>
                <w:lang w:val="es-MX" w:eastAsia="es-ES"/>
              </w:rPr>
              <w:t xml:space="preserve">En el Perú, </w:t>
            </w:r>
            <w:r w:rsidR="0083647C">
              <w:rPr>
                <w:rFonts w:ascii="Palatino Linotype" w:eastAsia="Times New Roman" w:hAnsi="Palatino Linotype" w:cs="Arial"/>
                <w:sz w:val="24"/>
                <w:szCs w:val="24"/>
                <w:lang w:val="es-MX" w:eastAsia="es-ES"/>
              </w:rPr>
              <w:t>tanto a n</w:t>
            </w:r>
            <w:r w:rsidRPr="003575EA">
              <w:rPr>
                <w:rFonts w:ascii="Palatino Linotype" w:eastAsia="Times New Roman" w:hAnsi="Palatino Linotype" w:cs="Arial"/>
                <w:sz w:val="24"/>
                <w:szCs w:val="24"/>
                <w:lang w:val="es-MX" w:eastAsia="es-ES"/>
              </w:rPr>
              <w:t xml:space="preserve">ivel legal </w:t>
            </w:r>
            <w:r w:rsidR="0083647C">
              <w:rPr>
                <w:rFonts w:ascii="Palatino Linotype" w:eastAsia="Times New Roman" w:hAnsi="Palatino Linotype" w:cs="Arial"/>
                <w:sz w:val="24"/>
                <w:szCs w:val="24"/>
                <w:lang w:val="es-MX" w:eastAsia="es-ES"/>
              </w:rPr>
              <w:t xml:space="preserve">como </w:t>
            </w:r>
            <w:r w:rsidRPr="003575EA">
              <w:rPr>
                <w:rFonts w:ascii="Palatino Linotype" w:eastAsia="Times New Roman" w:hAnsi="Palatino Linotype" w:cs="Arial"/>
                <w:sz w:val="24"/>
                <w:szCs w:val="24"/>
                <w:lang w:val="es-MX" w:eastAsia="es-ES"/>
              </w:rPr>
              <w:t xml:space="preserve">jurisprudencial </w:t>
            </w:r>
            <w:r w:rsidR="0083647C">
              <w:rPr>
                <w:rFonts w:ascii="Palatino Linotype" w:eastAsia="Times New Roman" w:hAnsi="Palatino Linotype" w:cs="Arial"/>
                <w:sz w:val="24"/>
                <w:szCs w:val="24"/>
                <w:lang w:val="es-MX" w:eastAsia="es-ES"/>
              </w:rPr>
              <w:t xml:space="preserve">no se </w:t>
            </w:r>
            <w:r w:rsidRPr="003575EA">
              <w:rPr>
                <w:rFonts w:ascii="Palatino Linotype" w:eastAsia="Times New Roman" w:hAnsi="Palatino Linotype" w:cs="Arial"/>
                <w:sz w:val="24"/>
                <w:szCs w:val="24"/>
                <w:lang w:val="es-MX" w:eastAsia="es-ES"/>
              </w:rPr>
              <w:t xml:space="preserve">hace </w:t>
            </w:r>
            <w:r w:rsidR="00383375" w:rsidRPr="003575EA">
              <w:rPr>
                <w:rFonts w:ascii="Palatino Linotype" w:eastAsia="Times New Roman" w:hAnsi="Palatino Linotype" w:cs="Arial"/>
                <w:sz w:val="24"/>
                <w:szCs w:val="24"/>
                <w:lang w:val="es-MX" w:eastAsia="es-ES"/>
              </w:rPr>
              <w:t>menciónexpresa a</w:t>
            </w:r>
            <w:r w:rsidR="0083647C">
              <w:rPr>
                <w:rFonts w:ascii="Palatino Linotype" w:eastAsia="Times New Roman" w:hAnsi="Palatino Linotype" w:cs="Arial"/>
                <w:sz w:val="24"/>
                <w:szCs w:val="24"/>
                <w:lang w:val="es-MX" w:eastAsia="es-ES"/>
              </w:rPr>
              <w:t xml:space="preserve"> la expresión </w:t>
            </w:r>
            <w:r w:rsidRPr="003575EA">
              <w:rPr>
                <w:rFonts w:ascii="Palatino Linotype" w:eastAsia="Times New Roman" w:hAnsi="Palatino Linotype" w:cs="Arial"/>
                <w:sz w:val="24"/>
                <w:szCs w:val="24"/>
                <w:lang w:val="es-MX" w:eastAsia="es-ES"/>
              </w:rPr>
              <w:t xml:space="preserve">“prueba del daño”. Sin embargo, </w:t>
            </w:r>
            <w:r w:rsidR="009101C4">
              <w:rPr>
                <w:rFonts w:ascii="Palatino Linotype" w:eastAsia="Times New Roman" w:hAnsi="Palatino Linotype" w:cs="Arial"/>
                <w:sz w:val="24"/>
                <w:szCs w:val="24"/>
                <w:lang w:val="es-MX" w:eastAsia="es-ES"/>
              </w:rPr>
              <w:t xml:space="preserve">en el </w:t>
            </w:r>
            <w:r w:rsidRPr="003575EA">
              <w:rPr>
                <w:rFonts w:ascii="Palatino Linotype" w:eastAsia="Times New Roman" w:hAnsi="Palatino Linotype" w:cs="Arial"/>
                <w:sz w:val="24"/>
                <w:szCs w:val="24"/>
                <w:lang w:val="es-MX" w:eastAsia="es-ES"/>
              </w:rPr>
              <w:t>procedimiento para justificar la negativa (o motivación de la negativa)</w:t>
            </w:r>
            <w:r w:rsidR="009101C4">
              <w:rPr>
                <w:rFonts w:ascii="Palatino Linotype" w:eastAsia="Times New Roman" w:hAnsi="Palatino Linotype" w:cs="Arial"/>
                <w:sz w:val="24"/>
                <w:szCs w:val="24"/>
                <w:lang w:val="es-MX" w:eastAsia="es-ES"/>
              </w:rPr>
              <w:t xml:space="preserve">, no solo basta con sustentar que la información está protegida por alguna causal del régimen de exclusión, sino que es necesario determinar de qué manera su divulgación puede afectar o no el derecho o principio protegido por dicha causal. </w:t>
            </w:r>
          </w:p>
          <w:p w:rsidR="009101C4" w:rsidRDefault="009101C4" w:rsidP="003575EA">
            <w:pPr>
              <w:spacing w:after="0" w:line="240" w:lineRule="auto"/>
              <w:jc w:val="both"/>
              <w:rPr>
                <w:rFonts w:ascii="Palatino Linotype" w:eastAsia="Times New Roman" w:hAnsi="Palatino Linotype" w:cs="Arial"/>
                <w:sz w:val="24"/>
                <w:szCs w:val="24"/>
                <w:lang w:val="es-MX" w:eastAsia="es-ES"/>
              </w:rPr>
            </w:pPr>
          </w:p>
          <w:p w:rsidR="00AC7955" w:rsidRPr="003575EA" w:rsidRDefault="00AC7955" w:rsidP="00AC7955">
            <w:pPr>
              <w:pStyle w:val="Prrafodelista"/>
              <w:numPr>
                <w:ilvl w:val="0"/>
                <w:numId w:val="5"/>
              </w:numPr>
              <w:spacing w:after="0" w:line="240" w:lineRule="auto"/>
              <w:jc w:val="both"/>
              <w:rPr>
                <w:rFonts w:ascii="Palatino Linotype" w:eastAsia="Times New Roman" w:hAnsi="Palatino Linotype" w:cs="Arial"/>
                <w:b/>
                <w:sz w:val="24"/>
                <w:szCs w:val="24"/>
                <w:lang w:val="es-MX" w:eastAsia="es-ES"/>
              </w:rPr>
            </w:pPr>
            <w:r w:rsidRPr="003575EA">
              <w:rPr>
                <w:rFonts w:ascii="Palatino Linotype" w:eastAsia="Times New Roman" w:hAnsi="Palatino Linotype" w:cs="Arial"/>
                <w:b/>
                <w:sz w:val="24"/>
                <w:szCs w:val="24"/>
                <w:lang w:val="es-MX" w:eastAsia="es-ES"/>
              </w:rPr>
              <w:t xml:space="preserve">¿Quién y cuándo se </w:t>
            </w:r>
            <w:r w:rsidR="00AA6449" w:rsidRPr="003575EA">
              <w:rPr>
                <w:rFonts w:ascii="Palatino Linotype" w:eastAsia="Times New Roman" w:hAnsi="Palatino Linotype" w:cs="Arial"/>
                <w:b/>
                <w:sz w:val="24"/>
                <w:szCs w:val="24"/>
                <w:lang w:val="es-MX" w:eastAsia="es-ES"/>
              </w:rPr>
              <w:t>debe realizar la prueba de daño?</w:t>
            </w:r>
          </w:p>
          <w:p w:rsidR="00AA6449" w:rsidRPr="00C02759" w:rsidRDefault="00AA6449" w:rsidP="00AA6449">
            <w:pPr>
              <w:pStyle w:val="Prrafodelista"/>
              <w:spacing w:after="0" w:line="240" w:lineRule="auto"/>
              <w:jc w:val="both"/>
              <w:rPr>
                <w:rFonts w:ascii="Palatino Linotype" w:eastAsia="Times New Roman" w:hAnsi="Palatino Linotype" w:cs="Arial"/>
                <w:sz w:val="24"/>
                <w:szCs w:val="24"/>
                <w:lang w:val="es-MX" w:eastAsia="es-ES"/>
              </w:rPr>
            </w:pPr>
          </w:p>
          <w:p w:rsidR="009101C4" w:rsidRDefault="00300923" w:rsidP="003575EA">
            <w:pPr>
              <w:spacing w:after="0" w:line="240" w:lineRule="auto"/>
              <w:jc w:val="both"/>
              <w:rPr>
                <w:rFonts w:ascii="Palatino Linotype" w:eastAsia="Times New Roman" w:hAnsi="Palatino Linotype" w:cs="Arial"/>
                <w:sz w:val="24"/>
                <w:szCs w:val="24"/>
                <w:lang w:val="es-MX" w:eastAsia="es-ES"/>
              </w:rPr>
            </w:pPr>
            <w:r w:rsidRPr="003575EA">
              <w:rPr>
                <w:rFonts w:ascii="Palatino Linotype" w:eastAsia="Times New Roman" w:hAnsi="Palatino Linotype" w:cs="Arial"/>
                <w:sz w:val="24"/>
                <w:szCs w:val="24"/>
                <w:lang w:val="es-MX" w:eastAsia="es-ES"/>
              </w:rPr>
              <w:t xml:space="preserve">Este paso lo tiene que realizar el funcionario responsable de entregar la información al momento de justificar la negativa </w:t>
            </w:r>
            <w:r w:rsidR="009101C4">
              <w:rPr>
                <w:rFonts w:ascii="Palatino Linotype" w:eastAsia="Times New Roman" w:hAnsi="Palatino Linotype" w:cs="Arial"/>
                <w:sz w:val="24"/>
                <w:szCs w:val="24"/>
                <w:lang w:val="es-MX" w:eastAsia="es-ES"/>
              </w:rPr>
              <w:t xml:space="preserve">total o parcial. </w:t>
            </w:r>
          </w:p>
          <w:p w:rsidR="00AA6449" w:rsidRPr="00C02759" w:rsidRDefault="00AA6449" w:rsidP="00300923">
            <w:pPr>
              <w:pStyle w:val="Prrafodelista"/>
              <w:spacing w:after="0" w:line="240" w:lineRule="auto"/>
              <w:jc w:val="both"/>
              <w:rPr>
                <w:rFonts w:ascii="Palatino Linotype" w:eastAsia="Times New Roman" w:hAnsi="Palatino Linotype" w:cs="Arial"/>
                <w:sz w:val="24"/>
                <w:szCs w:val="24"/>
                <w:lang w:val="es-MX" w:eastAsia="es-ES"/>
              </w:rPr>
            </w:pPr>
          </w:p>
          <w:p w:rsidR="00AC7955" w:rsidRPr="003575EA" w:rsidRDefault="00AC7955" w:rsidP="00AC7955">
            <w:pPr>
              <w:pStyle w:val="Prrafodelista"/>
              <w:numPr>
                <w:ilvl w:val="0"/>
                <w:numId w:val="5"/>
              </w:numPr>
              <w:spacing w:after="0" w:line="240" w:lineRule="auto"/>
              <w:jc w:val="both"/>
              <w:rPr>
                <w:rFonts w:ascii="Palatino Linotype" w:eastAsia="Times New Roman" w:hAnsi="Palatino Linotype" w:cs="Arial"/>
                <w:b/>
                <w:sz w:val="24"/>
                <w:szCs w:val="24"/>
                <w:lang w:val="es-MX" w:eastAsia="es-ES"/>
              </w:rPr>
            </w:pPr>
            <w:r w:rsidRPr="003575EA">
              <w:rPr>
                <w:rFonts w:ascii="Palatino Linotype" w:eastAsia="Times New Roman" w:hAnsi="Palatino Linotype" w:cs="Arial"/>
                <w:b/>
                <w:sz w:val="24"/>
                <w:szCs w:val="24"/>
                <w:lang w:val="es-MX" w:eastAsia="es-ES"/>
              </w:rPr>
              <w:t xml:space="preserve">¿Qué requisitos son necesarios acreditar en la prueba </w:t>
            </w:r>
            <w:r w:rsidRPr="003575EA">
              <w:rPr>
                <w:rFonts w:ascii="Palatino Linotype" w:eastAsia="Times New Roman" w:hAnsi="Palatino Linotype" w:cs="Arial"/>
                <w:b/>
                <w:sz w:val="24"/>
                <w:szCs w:val="24"/>
                <w:lang w:val="es-MX" w:eastAsia="es-ES"/>
              </w:rPr>
              <w:lastRenderedPageBreak/>
              <w:t>de daño?</w:t>
            </w:r>
          </w:p>
          <w:p w:rsidR="00AA6449" w:rsidRPr="00C02759" w:rsidRDefault="00AA6449" w:rsidP="00AA6449">
            <w:pPr>
              <w:pStyle w:val="Prrafodelista"/>
              <w:spacing w:after="0" w:line="240" w:lineRule="auto"/>
              <w:jc w:val="both"/>
              <w:rPr>
                <w:rFonts w:ascii="Palatino Linotype" w:eastAsia="Times New Roman" w:hAnsi="Palatino Linotype" w:cs="Arial"/>
                <w:sz w:val="24"/>
                <w:szCs w:val="24"/>
                <w:lang w:val="es-MX" w:eastAsia="es-ES"/>
              </w:rPr>
            </w:pPr>
          </w:p>
          <w:p w:rsidR="009101C4" w:rsidRDefault="009101C4" w:rsidP="003575EA">
            <w:pPr>
              <w:spacing w:after="0" w:line="240" w:lineRule="auto"/>
              <w:jc w:val="both"/>
              <w:rPr>
                <w:rFonts w:ascii="Palatino Linotype" w:eastAsia="Times New Roman" w:hAnsi="Palatino Linotype" w:cs="Arial"/>
                <w:sz w:val="24"/>
                <w:szCs w:val="24"/>
                <w:lang w:val="es-MX" w:eastAsia="es-ES"/>
              </w:rPr>
            </w:pPr>
            <w:r>
              <w:rPr>
                <w:rFonts w:ascii="Palatino Linotype" w:eastAsia="Times New Roman" w:hAnsi="Palatino Linotype" w:cs="Arial"/>
                <w:sz w:val="24"/>
                <w:szCs w:val="24"/>
                <w:lang w:val="es-MX" w:eastAsia="es-ES"/>
              </w:rPr>
              <w:t>No existe mayor desarrollo sobre requisitos o criterios para la determinación de la prueba del daño.</w:t>
            </w:r>
          </w:p>
          <w:p w:rsidR="009101C4" w:rsidRDefault="009101C4" w:rsidP="003575EA">
            <w:pPr>
              <w:spacing w:after="0" w:line="240" w:lineRule="auto"/>
              <w:jc w:val="both"/>
              <w:rPr>
                <w:rFonts w:ascii="Palatino Linotype" w:eastAsia="Times New Roman" w:hAnsi="Palatino Linotype" w:cs="Arial"/>
                <w:sz w:val="24"/>
                <w:szCs w:val="24"/>
                <w:lang w:val="es-MX" w:eastAsia="es-ES"/>
              </w:rPr>
            </w:pPr>
          </w:p>
          <w:p w:rsidR="00AC7955" w:rsidRPr="003575EA" w:rsidRDefault="00AC7955" w:rsidP="004633C9">
            <w:pPr>
              <w:pStyle w:val="Prrafodelista"/>
              <w:numPr>
                <w:ilvl w:val="0"/>
                <w:numId w:val="5"/>
              </w:numPr>
              <w:spacing w:after="0" w:line="240" w:lineRule="auto"/>
              <w:jc w:val="both"/>
              <w:rPr>
                <w:rFonts w:ascii="Palatino Linotype" w:eastAsia="Times New Roman" w:hAnsi="Palatino Linotype" w:cs="Arial"/>
                <w:b/>
                <w:sz w:val="24"/>
                <w:szCs w:val="24"/>
                <w:lang w:val="es-MX" w:eastAsia="es-ES"/>
              </w:rPr>
            </w:pPr>
            <w:r w:rsidRPr="003575EA">
              <w:rPr>
                <w:rFonts w:ascii="Palatino Linotype" w:eastAsia="Times New Roman" w:hAnsi="Palatino Linotype" w:cs="Arial"/>
                <w:b/>
                <w:sz w:val="24"/>
                <w:szCs w:val="24"/>
                <w:lang w:val="es-MX" w:eastAsia="es-ES"/>
              </w:rPr>
              <w:t>¿Cuáles son las semejanzas y diferencias de la prueba de daño y la prueba de prueba de interés público?</w:t>
            </w:r>
          </w:p>
          <w:p w:rsidR="00BC5F32" w:rsidRDefault="00BC5F32" w:rsidP="003575EA">
            <w:pPr>
              <w:spacing w:after="0" w:line="240" w:lineRule="auto"/>
              <w:jc w:val="both"/>
              <w:rPr>
                <w:rFonts w:ascii="Palatino Linotype" w:eastAsia="Times New Roman" w:hAnsi="Palatino Linotype" w:cs="Arial"/>
                <w:b/>
                <w:sz w:val="24"/>
                <w:szCs w:val="24"/>
                <w:highlight w:val="yellow"/>
                <w:lang w:val="es-MX" w:eastAsia="es-ES"/>
              </w:rPr>
            </w:pPr>
          </w:p>
          <w:p w:rsidR="001821C9" w:rsidRPr="00BC5F32" w:rsidRDefault="001821C9" w:rsidP="003575EA">
            <w:pPr>
              <w:spacing w:after="0" w:line="240" w:lineRule="auto"/>
              <w:jc w:val="both"/>
              <w:rPr>
                <w:rFonts w:ascii="Palatino Linotype" w:eastAsia="Times New Roman" w:hAnsi="Palatino Linotype" w:cs="Arial"/>
                <w:sz w:val="24"/>
                <w:szCs w:val="24"/>
                <w:lang w:val="es-MX" w:eastAsia="es-ES"/>
              </w:rPr>
            </w:pPr>
            <w:r w:rsidRPr="00BC5F32">
              <w:rPr>
                <w:rFonts w:ascii="Palatino Linotype" w:eastAsia="Times New Roman" w:hAnsi="Palatino Linotype" w:cs="Arial"/>
                <w:b/>
                <w:sz w:val="24"/>
                <w:szCs w:val="24"/>
                <w:lang w:val="es-MX" w:eastAsia="es-ES"/>
              </w:rPr>
              <w:t>Diferencias</w:t>
            </w:r>
            <w:r w:rsidRPr="00BC5F32">
              <w:rPr>
                <w:rFonts w:ascii="Palatino Linotype" w:eastAsia="Times New Roman" w:hAnsi="Palatino Linotype" w:cs="Arial"/>
                <w:sz w:val="24"/>
                <w:szCs w:val="24"/>
                <w:lang w:val="es-MX" w:eastAsia="es-ES"/>
              </w:rPr>
              <w:t>:</w:t>
            </w:r>
          </w:p>
          <w:p w:rsidR="001821C9" w:rsidRPr="00BC5F32" w:rsidRDefault="00BB0264" w:rsidP="003575EA">
            <w:pPr>
              <w:spacing w:after="0" w:line="240" w:lineRule="auto"/>
              <w:jc w:val="both"/>
              <w:rPr>
                <w:rFonts w:ascii="Palatino Linotype" w:eastAsia="Times New Roman" w:hAnsi="Palatino Linotype" w:cs="Arial"/>
                <w:sz w:val="24"/>
                <w:szCs w:val="24"/>
                <w:lang w:val="es-MX" w:eastAsia="es-ES"/>
              </w:rPr>
            </w:pPr>
            <w:r w:rsidRPr="00BC5F32">
              <w:rPr>
                <w:rFonts w:ascii="Palatino Linotype" w:eastAsia="Times New Roman" w:hAnsi="Palatino Linotype" w:cs="Arial"/>
                <w:sz w:val="24"/>
                <w:szCs w:val="24"/>
                <w:lang w:val="es-MX" w:eastAsia="es-ES"/>
              </w:rPr>
              <w:t xml:space="preserve">En la </w:t>
            </w:r>
            <w:r w:rsidR="001821C9" w:rsidRPr="00BC5F32">
              <w:rPr>
                <w:rFonts w:ascii="Palatino Linotype" w:eastAsia="Times New Roman" w:hAnsi="Palatino Linotype" w:cs="Arial"/>
                <w:sz w:val="24"/>
                <w:szCs w:val="24"/>
                <w:lang w:val="es-MX" w:eastAsia="es-ES"/>
              </w:rPr>
              <w:t>prueba del daño</w:t>
            </w:r>
            <w:r w:rsidRPr="00BC5F32">
              <w:rPr>
                <w:rFonts w:ascii="Palatino Linotype" w:eastAsia="Times New Roman" w:hAnsi="Palatino Linotype" w:cs="Arial"/>
                <w:sz w:val="24"/>
                <w:szCs w:val="24"/>
                <w:lang w:val="es-MX" w:eastAsia="es-ES"/>
              </w:rPr>
              <w:t xml:space="preserve"> se debe </w:t>
            </w:r>
            <w:r w:rsidR="001821C9" w:rsidRPr="00BC5F32">
              <w:rPr>
                <w:rFonts w:ascii="Palatino Linotype" w:eastAsia="Times New Roman" w:hAnsi="Palatino Linotype" w:cs="Arial"/>
                <w:sz w:val="24"/>
                <w:szCs w:val="24"/>
                <w:lang w:val="es-MX" w:eastAsia="es-ES"/>
              </w:rPr>
              <w:t>probar cómo la divulgación afecta un derecho o un bien jurídico protegido por las excepciones.</w:t>
            </w:r>
            <w:r w:rsidRPr="00BC5F32">
              <w:rPr>
                <w:rFonts w:ascii="Palatino Linotype" w:eastAsia="Times New Roman" w:hAnsi="Palatino Linotype" w:cs="Arial"/>
                <w:sz w:val="24"/>
                <w:szCs w:val="24"/>
                <w:lang w:val="es-MX" w:eastAsia="es-ES"/>
              </w:rPr>
              <w:t xml:space="preserve"> Es el segundo paso para justificar adecuadamente la negativa de acceso.</w:t>
            </w:r>
          </w:p>
          <w:p w:rsidR="00BB0264" w:rsidRPr="00BC5F32" w:rsidRDefault="00BB0264" w:rsidP="001821C9">
            <w:pPr>
              <w:pStyle w:val="Prrafodelista"/>
              <w:spacing w:after="0" w:line="240" w:lineRule="auto"/>
              <w:jc w:val="both"/>
              <w:rPr>
                <w:rFonts w:ascii="Palatino Linotype" w:eastAsia="Times New Roman" w:hAnsi="Palatino Linotype" w:cs="Arial"/>
                <w:sz w:val="24"/>
                <w:szCs w:val="24"/>
                <w:lang w:val="es-MX" w:eastAsia="es-ES"/>
              </w:rPr>
            </w:pPr>
          </w:p>
          <w:p w:rsidR="00470085" w:rsidRPr="00BC5F32" w:rsidRDefault="001821C9" w:rsidP="003575EA">
            <w:pPr>
              <w:spacing w:after="0" w:line="240" w:lineRule="auto"/>
              <w:jc w:val="both"/>
              <w:rPr>
                <w:rFonts w:ascii="Palatino Linotype" w:eastAsia="Times New Roman" w:hAnsi="Palatino Linotype" w:cs="Arial"/>
                <w:sz w:val="24"/>
                <w:szCs w:val="24"/>
                <w:lang w:val="es-MX" w:eastAsia="es-ES"/>
              </w:rPr>
            </w:pPr>
            <w:r w:rsidRPr="00BC5F32">
              <w:rPr>
                <w:rFonts w:ascii="Palatino Linotype" w:eastAsia="Times New Roman" w:hAnsi="Palatino Linotype" w:cs="Arial"/>
                <w:sz w:val="24"/>
                <w:szCs w:val="24"/>
                <w:lang w:val="es-MX" w:eastAsia="es-ES"/>
              </w:rPr>
              <w:t>La prueba de interés público puede ser un elemento de análisis al momento de ponderar entre la afectación por la no divulgación y la afectación por la divulgación.</w:t>
            </w:r>
            <w:r w:rsidR="00BB0264" w:rsidRPr="00BC5F32">
              <w:rPr>
                <w:rFonts w:ascii="Palatino Linotype" w:eastAsia="Times New Roman" w:hAnsi="Palatino Linotype" w:cs="Arial"/>
                <w:sz w:val="24"/>
                <w:szCs w:val="24"/>
                <w:lang w:val="es-MX" w:eastAsia="es-ES"/>
              </w:rPr>
              <w:t xml:space="preserve"> Es el tercer paso para justificar adecuadamente la negativa de acceso</w:t>
            </w:r>
          </w:p>
          <w:p w:rsidR="00AA6449" w:rsidRPr="00BC5F32" w:rsidRDefault="00AA6449" w:rsidP="001821C9">
            <w:pPr>
              <w:pStyle w:val="Prrafodelista"/>
              <w:spacing w:after="0" w:line="240" w:lineRule="auto"/>
              <w:jc w:val="both"/>
              <w:rPr>
                <w:rFonts w:ascii="Palatino Linotype" w:eastAsia="Times New Roman" w:hAnsi="Palatino Linotype" w:cs="Arial"/>
                <w:sz w:val="24"/>
                <w:szCs w:val="24"/>
                <w:lang w:val="es-MX" w:eastAsia="es-ES"/>
              </w:rPr>
            </w:pPr>
          </w:p>
          <w:p w:rsidR="001821C9" w:rsidRPr="003575EA" w:rsidRDefault="00D523D2" w:rsidP="003575EA">
            <w:pPr>
              <w:spacing w:after="0" w:line="240" w:lineRule="auto"/>
              <w:jc w:val="both"/>
              <w:rPr>
                <w:rFonts w:ascii="Palatino Linotype" w:eastAsia="Times New Roman" w:hAnsi="Palatino Linotype" w:cs="Arial"/>
                <w:sz w:val="24"/>
                <w:szCs w:val="24"/>
                <w:lang w:val="es-MX" w:eastAsia="es-ES"/>
              </w:rPr>
            </w:pPr>
            <w:r w:rsidRPr="00BC5F32">
              <w:rPr>
                <w:rFonts w:ascii="Palatino Linotype" w:eastAsia="Times New Roman" w:hAnsi="Palatino Linotype" w:cs="Arial"/>
                <w:b/>
                <w:sz w:val="24"/>
                <w:szCs w:val="24"/>
                <w:lang w:val="es-MX" w:eastAsia="es-ES"/>
              </w:rPr>
              <w:t>Semejanzas</w:t>
            </w:r>
            <w:r w:rsidRPr="00BC5F32">
              <w:rPr>
                <w:rFonts w:ascii="Palatino Linotype" w:eastAsia="Times New Roman" w:hAnsi="Palatino Linotype" w:cs="Arial"/>
                <w:sz w:val="24"/>
                <w:szCs w:val="24"/>
                <w:lang w:val="es-MX" w:eastAsia="es-ES"/>
              </w:rPr>
              <w:t>: ambos son parte del proceso para justificar adecuadamente la negativa de acceso.</w:t>
            </w:r>
          </w:p>
        </w:tc>
      </w:tr>
      <w:tr w:rsidR="00522F6E" w:rsidRPr="00C02759" w:rsidTr="00882082">
        <w:tc>
          <w:tcPr>
            <w:tcW w:w="2093" w:type="dxa"/>
            <w:shd w:val="clear" w:color="auto" w:fill="auto"/>
          </w:tcPr>
          <w:p w:rsidR="00522F6E" w:rsidRPr="00C02759" w:rsidRDefault="00882082"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lastRenderedPageBreak/>
              <w:t>País</w:t>
            </w:r>
          </w:p>
        </w:tc>
        <w:tc>
          <w:tcPr>
            <w:tcW w:w="6885" w:type="dxa"/>
            <w:shd w:val="clear" w:color="auto" w:fill="auto"/>
          </w:tcPr>
          <w:p w:rsidR="00522F6E" w:rsidRPr="00C02759" w:rsidRDefault="00D34FE8" w:rsidP="00522F6E">
            <w:pPr>
              <w:autoSpaceDE w:val="0"/>
              <w:autoSpaceDN w:val="0"/>
              <w:adjustRightInd w:val="0"/>
              <w:spacing w:after="0" w:line="240" w:lineRule="auto"/>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rPr>
              <w:t>Perú</w:t>
            </w:r>
          </w:p>
        </w:tc>
      </w:tr>
    </w:tbl>
    <w:p w:rsidR="00C55220" w:rsidRDefault="00C55220">
      <w:r>
        <w:br w:type="page"/>
      </w: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522F6E" w:rsidRPr="00C02759" w:rsidTr="00882082">
        <w:tc>
          <w:tcPr>
            <w:tcW w:w="2093" w:type="dxa"/>
            <w:shd w:val="clear" w:color="auto" w:fill="auto"/>
          </w:tcPr>
          <w:p w:rsidR="00522F6E" w:rsidRPr="00C02759" w:rsidRDefault="00882082"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lastRenderedPageBreak/>
              <w:t xml:space="preserve">Consideraciones Generales </w:t>
            </w:r>
            <w:r w:rsidRPr="00C02759">
              <w:rPr>
                <w:rFonts w:ascii="Palatino Linotype" w:eastAsia="Calibri" w:hAnsi="Palatino Linotype" w:cs="Times New Roman"/>
                <w:sz w:val="24"/>
                <w:szCs w:val="24"/>
                <w:lang w:val="es-MX"/>
              </w:rPr>
              <w:t>(Relevancia del tema)</w:t>
            </w:r>
          </w:p>
        </w:tc>
        <w:tc>
          <w:tcPr>
            <w:tcW w:w="6885" w:type="dxa"/>
            <w:shd w:val="clear" w:color="auto" w:fill="auto"/>
          </w:tcPr>
          <w:p w:rsidR="00C55220" w:rsidRDefault="006C42FD" w:rsidP="00C55220">
            <w:pPr>
              <w:spacing w:after="0" w:line="240" w:lineRule="auto"/>
              <w:jc w:val="both"/>
              <w:rPr>
                <w:rFonts w:ascii="Palatino Linotype" w:hAnsi="Palatino Linotype"/>
                <w:iCs/>
                <w:sz w:val="24"/>
                <w:szCs w:val="24"/>
                <w:lang w:val="es-ES_tradnl"/>
              </w:rPr>
            </w:pPr>
            <w:r w:rsidRPr="00C02759">
              <w:rPr>
                <w:rFonts w:ascii="Palatino Linotype" w:eastAsia="Times New Roman" w:hAnsi="Palatino Linotype" w:cs="Arial"/>
                <w:iCs/>
                <w:sz w:val="24"/>
                <w:szCs w:val="24"/>
              </w:rPr>
              <w:t xml:space="preserve">El </w:t>
            </w:r>
            <w:r w:rsidR="00CD3D90" w:rsidRPr="00C02759">
              <w:rPr>
                <w:rFonts w:ascii="Palatino Linotype" w:eastAsia="Times New Roman" w:hAnsi="Palatino Linotype" w:cs="Arial"/>
                <w:iCs/>
                <w:sz w:val="24"/>
                <w:szCs w:val="24"/>
              </w:rPr>
              <w:t xml:space="preserve">tema resulta relevante </w:t>
            </w:r>
            <w:r w:rsidR="002A26A0">
              <w:rPr>
                <w:rFonts w:ascii="Palatino Linotype" w:eastAsia="Times New Roman" w:hAnsi="Palatino Linotype" w:cs="Arial"/>
                <w:iCs/>
                <w:sz w:val="24"/>
                <w:szCs w:val="24"/>
              </w:rPr>
              <w:t xml:space="preserve">dado que a más de diez años de vigencia </w:t>
            </w:r>
            <w:r w:rsidR="002A26A0">
              <w:rPr>
                <w:rFonts w:ascii="Palatino Linotype" w:hAnsi="Palatino Linotype"/>
                <w:iCs/>
                <w:sz w:val="24"/>
                <w:szCs w:val="24"/>
                <w:lang w:val="es-ES_tradnl"/>
              </w:rPr>
              <w:t>de la Ley de Transparencia y Acceso a la Información, Ley Nº 27806, la Ad</w:t>
            </w:r>
            <w:r w:rsidR="006D11B2" w:rsidRPr="00C02759">
              <w:rPr>
                <w:rFonts w:ascii="Palatino Linotype" w:hAnsi="Palatino Linotype"/>
                <w:iCs/>
                <w:sz w:val="24"/>
                <w:szCs w:val="24"/>
                <w:lang w:val="es-ES_tradnl"/>
              </w:rPr>
              <w:t>ministración</w:t>
            </w:r>
            <w:r w:rsidR="002A26A0">
              <w:rPr>
                <w:rFonts w:ascii="Palatino Linotype" w:hAnsi="Palatino Linotype"/>
                <w:iCs/>
                <w:sz w:val="24"/>
                <w:szCs w:val="24"/>
                <w:lang w:val="es-ES_tradnl"/>
              </w:rPr>
              <w:t xml:space="preserve"> continúa </w:t>
            </w:r>
            <w:r w:rsidR="002A26A0" w:rsidRPr="00C02759">
              <w:rPr>
                <w:rFonts w:ascii="Palatino Linotype" w:eastAsia="Times New Roman" w:hAnsi="Palatino Linotype" w:cs="Arial"/>
                <w:iCs/>
                <w:sz w:val="24"/>
                <w:szCs w:val="24"/>
              </w:rPr>
              <w:t>vulner</w:t>
            </w:r>
            <w:r w:rsidR="002A26A0">
              <w:rPr>
                <w:rFonts w:ascii="Palatino Linotype" w:eastAsia="Times New Roman" w:hAnsi="Palatino Linotype" w:cs="Arial"/>
                <w:iCs/>
                <w:sz w:val="24"/>
                <w:szCs w:val="24"/>
              </w:rPr>
              <w:t>ando</w:t>
            </w:r>
            <w:r w:rsidR="006D11B2" w:rsidRPr="00C02759">
              <w:rPr>
                <w:rFonts w:ascii="Palatino Linotype" w:eastAsia="Times New Roman" w:hAnsi="Palatino Linotype" w:cs="Arial"/>
                <w:iCs/>
                <w:sz w:val="24"/>
                <w:szCs w:val="24"/>
              </w:rPr>
              <w:t xml:space="preserve"> el </w:t>
            </w:r>
            <w:r w:rsidR="006D11B2" w:rsidRPr="00C55220">
              <w:rPr>
                <w:rFonts w:ascii="Palatino Linotype" w:eastAsia="Times New Roman" w:hAnsi="Palatino Linotype" w:cs="Arial"/>
                <w:iCs/>
                <w:sz w:val="24"/>
                <w:szCs w:val="24"/>
              </w:rPr>
              <w:t xml:space="preserve">derecho constitucional de </w:t>
            </w:r>
            <w:r w:rsidR="006D11B2" w:rsidRPr="00C55220">
              <w:rPr>
                <w:rFonts w:ascii="Palatino Linotype" w:hAnsi="Palatino Linotype"/>
                <w:iCs/>
                <w:sz w:val="24"/>
                <w:szCs w:val="24"/>
                <w:lang w:val="es-ES_tradnl"/>
              </w:rPr>
              <w:t xml:space="preserve">acceso a la información pública </w:t>
            </w:r>
            <w:r w:rsidR="002A26A0">
              <w:rPr>
                <w:rFonts w:ascii="Palatino Linotype" w:hAnsi="Palatino Linotype"/>
                <w:iCs/>
                <w:sz w:val="24"/>
                <w:szCs w:val="24"/>
                <w:lang w:val="es-ES_tradnl"/>
              </w:rPr>
              <w:t xml:space="preserve">porque no </w:t>
            </w:r>
            <w:r w:rsidR="00EA0596" w:rsidRPr="00C55220">
              <w:rPr>
                <w:rFonts w:ascii="Palatino Linotype" w:hAnsi="Palatino Linotype"/>
                <w:iCs/>
                <w:sz w:val="24"/>
                <w:szCs w:val="24"/>
                <w:lang w:val="es-ES_tradnl"/>
              </w:rPr>
              <w:t>j</w:t>
            </w:r>
            <w:r w:rsidR="003908B4" w:rsidRPr="00C55220">
              <w:rPr>
                <w:rFonts w:ascii="Palatino Linotype" w:hAnsi="Palatino Linotype"/>
                <w:iCs/>
                <w:sz w:val="24"/>
                <w:szCs w:val="24"/>
                <w:lang w:val="es-ES_tradnl"/>
              </w:rPr>
              <w:t>ustifica adecuadamente</w:t>
            </w:r>
            <w:r w:rsidR="006D11B2" w:rsidRPr="00C55220">
              <w:rPr>
                <w:rFonts w:ascii="Palatino Linotype" w:hAnsi="Palatino Linotype"/>
                <w:iCs/>
                <w:sz w:val="24"/>
                <w:szCs w:val="24"/>
                <w:lang w:val="es-ES_tradnl"/>
              </w:rPr>
              <w:t xml:space="preserve"> la negativa.</w:t>
            </w:r>
            <w:r w:rsidR="006D11B2" w:rsidRPr="00C55220">
              <w:rPr>
                <w:rStyle w:val="Refdenotaalpie"/>
                <w:rFonts w:ascii="Palatino Linotype" w:eastAsia="Times New Roman" w:hAnsi="Palatino Linotype" w:cs="Arial"/>
                <w:iCs/>
                <w:sz w:val="24"/>
                <w:szCs w:val="24"/>
              </w:rPr>
              <w:footnoteReference w:id="2"/>
            </w:r>
          </w:p>
          <w:p w:rsidR="00C55220" w:rsidRDefault="00C55220" w:rsidP="00C55220">
            <w:pPr>
              <w:spacing w:after="0" w:line="240" w:lineRule="auto"/>
              <w:jc w:val="both"/>
              <w:rPr>
                <w:rFonts w:ascii="Palatino Linotype" w:hAnsi="Palatino Linotype"/>
                <w:iCs/>
                <w:sz w:val="24"/>
                <w:szCs w:val="24"/>
                <w:lang w:val="es-ES_tradnl"/>
              </w:rPr>
            </w:pPr>
          </w:p>
          <w:p w:rsidR="00C55220" w:rsidRDefault="00C55220" w:rsidP="00121798">
            <w:pPr>
              <w:spacing w:after="0" w:line="240" w:lineRule="auto"/>
              <w:jc w:val="both"/>
              <w:rPr>
                <w:rFonts w:ascii="Palatino Linotype" w:hAnsi="Palatino Linotype" w:cs="PalatinoLinotype-Roman"/>
                <w:sz w:val="24"/>
                <w:szCs w:val="24"/>
              </w:rPr>
            </w:pPr>
            <w:r>
              <w:rPr>
                <w:rFonts w:ascii="Palatino Linotype" w:hAnsi="Palatino Linotype"/>
                <w:iCs/>
                <w:sz w:val="24"/>
                <w:szCs w:val="24"/>
                <w:lang w:val="es-ES_tradnl"/>
              </w:rPr>
              <w:t xml:space="preserve">Al respecto, la </w:t>
            </w:r>
            <w:r w:rsidR="00121798">
              <w:rPr>
                <w:rFonts w:ascii="Palatino Linotype" w:hAnsi="Palatino Linotype"/>
                <w:iCs/>
                <w:sz w:val="24"/>
                <w:szCs w:val="24"/>
                <w:lang w:val="es-ES_tradnl"/>
              </w:rPr>
              <w:t>Defensoría</w:t>
            </w:r>
            <w:r>
              <w:rPr>
                <w:rFonts w:ascii="Palatino Linotype" w:hAnsi="Palatino Linotype"/>
                <w:iCs/>
                <w:sz w:val="24"/>
                <w:szCs w:val="24"/>
                <w:lang w:val="es-ES_tradnl"/>
              </w:rPr>
              <w:t xml:space="preserve"> del Pueblo</w:t>
            </w:r>
            <w:r w:rsidR="00121798">
              <w:rPr>
                <w:rStyle w:val="Refdenotaalpie"/>
                <w:rFonts w:ascii="Palatino Linotype" w:hAnsi="Palatino Linotype"/>
                <w:iCs/>
                <w:sz w:val="24"/>
                <w:szCs w:val="24"/>
                <w:lang w:val="es-ES_tradnl"/>
              </w:rPr>
              <w:footnoteReference w:id="3"/>
            </w:r>
            <w:r>
              <w:rPr>
                <w:rFonts w:ascii="Palatino Linotype" w:hAnsi="Palatino Linotype"/>
                <w:iCs/>
                <w:sz w:val="24"/>
                <w:szCs w:val="24"/>
                <w:lang w:val="es-ES_tradnl"/>
              </w:rPr>
              <w:t xml:space="preserve"> evidenció que</w:t>
            </w:r>
            <w:r w:rsidR="00121798">
              <w:rPr>
                <w:rFonts w:ascii="Palatino Linotype" w:hAnsi="Palatino Linotype"/>
                <w:iCs/>
                <w:sz w:val="24"/>
                <w:szCs w:val="24"/>
                <w:lang w:val="es-ES_tradnl"/>
              </w:rPr>
              <w:t xml:space="preserve"> </w:t>
            </w:r>
            <w:r w:rsidR="002A26A0">
              <w:rPr>
                <w:rFonts w:ascii="Palatino Linotype" w:hAnsi="Palatino Linotype"/>
                <w:iCs/>
                <w:sz w:val="24"/>
                <w:szCs w:val="24"/>
                <w:lang w:val="es-ES_tradnl"/>
              </w:rPr>
              <w:t xml:space="preserve">del total de quejas recibidas por vulneración al derecho de acceso a la información pública, </w:t>
            </w:r>
            <w:r w:rsidR="00121798" w:rsidRPr="00C55220">
              <w:rPr>
                <w:rFonts w:ascii="Palatino Linotype" w:hAnsi="Palatino Linotype" w:cs="PalatinoLinotype-Roman"/>
                <w:sz w:val="24"/>
                <w:szCs w:val="24"/>
              </w:rPr>
              <w:t>369</w:t>
            </w:r>
            <w:r w:rsidR="00121798">
              <w:rPr>
                <w:rFonts w:ascii="Palatino Linotype" w:hAnsi="Palatino Linotype" w:cs="PalatinoLinotype-Roman"/>
                <w:sz w:val="24"/>
                <w:szCs w:val="24"/>
              </w:rPr>
              <w:t xml:space="preserve"> quejas de la ciudadanía (</w:t>
            </w:r>
            <w:r w:rsidR="00121798" w:rsidRPr="00C55220">
              <w:rPr>
                <w:rFonts w:ascii="Palatino Linotype" w:hAnsi="Palatino Linotype" w:cs="PalatinoLinotype-Roman"/>
                <w:sz w:val="24"/>
                <w:szCs w:val="24"/>
              </w:rPr>
              <w:t>5.5%</w:t>
            </w:r>
            <w:r w:rsidR="00121798">
              <w:rPr>
                <w:rFonts w:ascii="Palatino Linotype" w:hAnsi="Palatino Linotype" w:cs="PalatinoLinotype-Roman"/>
                <w:sz w:val="24"/>
                <w:szCs w:val="24"/>
              </w:rPr>
              <w:t>) se</w:t>
            </w:r>
            <w:r w:rsidR="002A26A0">
              <w:rPr>
                <w:rFonts w:ascii="Palatino Linotype" w:hAnsi="Palatino Linotype" w:cs="PalatinoLinotype-Roman"/>
                <w:sz w:val="24"/>
                <w:szCs w:val="24"/>
              </w:rPr>
              <w:t xml:space="preserve"> debieron a  </w:t>
            </w:r>
            <w:r w:rsidR="00121798">
              <w:rPr>
                <w:rFonts w:ascii="Palatino Linotype" w:hAnsi="Palatino Linotype" w:cs="PalatinoLinotype-Roman"/>
                <w:sz w:val="24"/>
                <w:szCs w:val="24"/>
              </w:rPr>
              <w:t>que la Administración se  negó a da</w:t>
            </w:r>
            <w:r w:rsidRPr="00C55220">
              <w:rPr>
                <w:rFonts w:ascii="Palatino Linotype" w:hAnsi="Palatino Linotype" w:cs="PalatinoLinotype-Roman"/>
                <w:sz w:val="24"/>
                <w:szCs w:val="24"/>
              </w:rPr>
              <w:t>r información por excepciones no contempladas en la normativa vigente</w:t>
            </w:r>
            <w:r w:rsidR="00121798">
              <w:rPr>
                <w:rFonts w:ascii="Palatino Linotype" w:hAnsi="Palatino Linotype" w:cs="PalatinoLinotype-Roman"/>
                <w:sz w:val="24"/>
                <w:szCs w:val="24"/>
              </w:rPr>
              <w:t xml:space="preserve">, </w:t>
            </w:r>
            <w:r w:rsidR="00121798" w:rsidRPr="00C55220">
              <w:rPr>
                <w:rFonts w:ascii="Palatino Linotype" w:hAnsi="Palatino Linotype" w:cs="PalatinoLinotype-Roman"/>
                <w:sz w:val="24"/>
                <w:szCs w:val="24"/>
              </w:rPr>
              <w:t>321</w:t>
            </w:r>
            <w:r w:rsidR="00121798">
              <w:rPr>
                <w:rFonts w:ascii="Palatino Linotype" w:hAnsi="Palatino Linotype" w:cs="PalatinoLinotype-Roman"/>
                <w:sz w:val="24"/>
                <w:szCs w:val="24"/>
              </w:rPr>
              <w:t xml:space="preserve"> quejas (</w:t>
            </w:r>
            <w:r w:rsidR="00121798" w:rsidRPr="00C55220">
              <w:rPr>
                <w:rFonts w:ascii="Palatino Linotype" w:hAnsi="Palatino Linotype" w:cs="PalatinoLinotype-Roman"/>
                <w:sz w:val="24"/>
                <w:szCs w:val="24"/>
              </w:rPr>
              <w:t>4.8%</w:t>
            </w:r>
            <w:r w:rsidR="00121798">
              <w:rPr>
                <w:rFonts w:ascii="Palatino Linotype" w:hAnsi="Palatino Linotype" w:cs="PalatinoLinotype-Roman"/>
                <w:sz w:val="24"/>
                <w:szCs w:val="24"/>
              </w:rPr>
              <w:t xml:space="preserve">) se debieron a la  </w:t>
            </w:r>
            <w:r w:rsidRPr="00C55220">
              <w:rPr>
                <w:rFonts w:ascii="Palatino Linotype" w:hAnsi="Palatino Linotype" w:cs="PalatinoLinotype-Roman"/>
                <w:sz w:val="24"/>
                <w:szCs w:val="24"/>
              </w:rPr>
              <w:t>exigencia de requisitos ilegales, arbitrarios o de</w:t>
            </w:r>
            <w:r>
              <w:rPr>
                <w:rFonts w:ascii="Palatino Linotype" w:hAnsi="Palatino Linotype" w:cs="PalatinoLinotype-Roman"/>
                <w:sz w:val="24"/>
                <w:szCs w:val="24"/>
              </w:rPr>
              <w:t xml:space="preserve"> </w:t>
            </w:r>
            <w:r w:rsidRPr="00C55220">
              <w:rPr>
                <w:rFonts w:ascii="Palatino Linotype" w:hAnsi="Palatino Linotype" w:cs="PalatinoLinotype-Roman"/>
                <w:sz w:val="24"/>
                <w:szCs w:val="24"/>
              </w:rPr>
              <w:t>justificación para acceder a la información</w:t>
            </w:r>
            <w:r w:rsidR="00121798">
              <w:rPr>
                <w:rFonts w:ascii="Palatino Linotype" w:hAnsi="Palatino Linotype" w:cs="PalatinoLinotype-Roman"/>
                <w:sz w:val="24"/>
                <w:szCs w:val="24"/>
              </w:rPr>
              <w:t xml:space="preserve"> y </w:t>
            </w:r>
            <w:r w:rsidR="00121798" w:rsidRPr="00C55220">
              <w:rPr>
                <w:rFonts w:ascii="Palatino Linotype" w:hAnsi="Palatino Linotype" w:cs="PalatinoLinotype-Roman"/>
                <w:sz w:val="24"/>
                <w:szCs w:val="24"/>
              </w:rPr>
              <w:t>269</w:t>
            </w:r>
            <w:r w:rsidR="00121798">
              <w:rPr>
                <w:rFonts w:ascii="Palatino Linotype" w:hAnsi="Palatino Linotype" w:cs="PalatinoLinotype-Roman"/>
                <w:sz w:val="24"/>
                <w:szCs w:val="24"/>
              </w:rPr>
              <w:t xml:space="preserve"> quejas (4.0%) por la </w:t>
            </w:r>
            <w:r w:rsidRPr="00C55220">
              <w:rPr>
                <w:rFonts w:ascii="Palatino Linotype" w:hAnsi="Palatino Linotype" w:cs="PalatinoLinotype-Roman"/>
                <w:sz w:val="24"/>
                <w:szCs w:val="24"/>
              </w:rPr>
              <w:t>negativa a dar información por inadecuada interpretación de las excepciones</w:t>
            </w:r>
            <w:r w:rsidR="00121798">
              <w:rPr>
                <w:rFonts w:ascii="Palatino Linotype" w:hAnsi="Palatino Linotype" w:cs="PalatinoLinotype-Roman"/>
                <w:sz w:val="24"/>
                <w:szCs w:val="24"/>
              </w:rPr>
              <w:t>.</w:t>
            </w:r>
          </w:p>
          <w:p w:rsidR="00121798" w:rsidRDefault="00121798" w:rsidP="00121798">
            <w:pPr>
              <w:spacing w:after="0" w:line="240" w:lineRule="auto"/>
              <w:jc w:val="both"/>
              <w:rPr>
                <w:rFonts w:ascii="Palatino Linotype" w:hAnsi="Palatino Linotype" w:cs="PalatinoLinotype-Roman"/>
                <w:sz w:val="24"/>
                <w:szCs w:val="24"/>
              </w:rPr>
            </w:pPr>
          </w:p>
          <w:p w:rsidR="00FF38C9" w:rsidRPr="00C55220" w:rsidRDefault="00FF38C9" w:rsidP="00C55220">
            <w:pPr>
              <w:spacing w:after="0" w:line="240" w:lineRule="auto"/>
              <w:jc w:val="both"/>
              <w:rPr>
                <w:rFonts w:ascii="Palatino Linotype" w:eastAsia="Times New Roman" w:hAnsi="Palatino Linotype" w:cs="Arial"/>
                <w:iCs/>
                <w:sz w:val="24"/>
                <w:szCs w:val="24"/>
              </w:rPr>
            </w:pPr>
            <w:r w:rsidRPr="00C55220">
              <w:rPr>
                <w:rFonts w:ascii="Palatino Linotype" w:eastAsia="Times New Roman" w:hAnsi="Palatino Linotype" w:cs="Arial"/>
                <w:iCs/>
                <w:sz w:val="24"/>
                <w:szCs w:val="24"/>
              </w:rPr>
              <w:t xml:space="preserve">Además, dicha </w:t>
            </w:r>
            <w:r w:rsidR="00E136CB" w:rsidRPr="00C55220">
              <w:rPr>
                <w:rFonts w:ascii="Palatino Linotype" w:eastAsia="Times New Roman" w:hAnsi="Palatino Linotype" w:cs="Arial"/>
                <w:iCs/>
                <w:sz w:val="24"/>
                <w:szCs w:val="24"/>
              </w:rPr>
              <w:t>negativa genera otro</w:t>
            </w:r>
            <w:r w:rsidRPr="00C55220">
              <w:rPr>
                <w:rFonts w:ascii="Palatino Linotype" w:eastAsia="Times New Roman" w:hAnsi="Palatino Linotype" w:cs="Arial"/>
                <w:iCs/>
                <w:sz w:val="24"/>
                <w:szCs w:val="24"/>
              </w:rPr>
              <w:t>s</w:t>
            </w:r>
            <w:r w:rsidR="00E136CB" w:rsidRPr="00C55220">
              <w:rPr>
                <w:rFonts w:ascii="Palatino Linotype" w:eastAsia="Times New Roman" w:hAnsi="Palatino Linotype" w:cs="Arial"/>
                <w:iCs/>
                <w:sz w:val="24"/>
                <w:szCs w:val="24"/>
              </w:rPr>
              <w:t xml:space="preserve"> problemas</w:t>
            </w:r>
            <w:r w:rsidRPr="00C55220">
              <w:rPr>
                <w:rFonts w:ascii="Palatino Linotype" w:eastAsia="Times New Roman" w:hAnsi="Palatino Linotype" w:cs="Arial"/>
                <w:iCs/>
                <w:sz w:val="24"/>
                <w:szCs w:val="24"/>
              </w:rPr>
              <w:t>. Como por ejemplo:</w:t>
            </w:r>
          </w:p>
          <w:p w:rsidR="00FF38C9" w:rsidRPr="00C02759" w:rsidRDefault="00FF38C9" w:rsidP="00522F6E">
            <w:pPr>
              <w:spacing w:after="0" w:line="240" w:lineRule="auto"/>
              <w:jc w:val="both"/>
              <w:rPr>
                <w:rFonts w:ascii="Palatino Linotype" w:eastAsia="Times New Roman" w:hAnsi="Palatino Linotype" w:cs="Arial"/>
                <w:iCs/>
                <w:sz w:val="24"/>
                <w:szCs w:val="24"/>
              </w:rPr>
            </w:pPr>
          </w:p>
          <w:p w:rsidR="00FF38C9" w:rsidRPr="00C02759" w:rsidRDefault="003D64C4" w:rsidP="00FF38C9">
            <w:pPr>
              <w:pStyle w:val="Prrafodelista"/>
              <w:numPr>
                <w:ilvl w:val="0"/>
                <w:numId w:val="11"/>
              </w:numPr>
              <w:spacing w:after="0" w:line="240" w:lineRule="auto"/>
              <w:jc w:val="both"/>
              <w:rPr>
                <w:rFonts w:ascii="Palatino Linotype" w:eastAsia="Times New Roman" w:hAnsi="Palatino Linotype" w:cs="Arial"/>
                <w:iCs/>
                <w:sz w:val="24"/>
                <w:szCs w:val="24"/>
              </w:rPr>
            </w:pPr>
            <w:r w:rsidRPr="00C02759">
              <w:rPr>
                <w:rFonts w:ascii="Palatino Linotype" w:eastAsia="Times New Roman" w:hAnsi="Palatino Linotype" w:cs="Arial"/>
                <w:bCs/>
                <w:iCs/>
                <w:sz w:val="24"/>
                <w:szCs w:val="24"/>
              </w:rPr>
              <w:t>Aumentan</w:t>
            </w:r>
            <w:r w:rsidR="00FF38C9" w:rsidRPr="00C02759">
              <w:rPr>
                <w:rFonts w:ascii="Palatino Linotype" w:eastAsia="Times New Roman" w:hAnsi="Palatino Linotype" w:cs="Arial"/>
                <w:bCs/>
                <w:iCs/>
                <w:sz w:val="24"/>
                <w:szCs w:val="24"/>
              </w:rPr>
              <w:t xml:space="preserve"> los riesgos de corrupción  o inconductas funcionales </w:t>
            </w:r>
          </w:p>
          <w:p w:rsidR="00FF38C9" w:rsidRPr="00C02759" w:rsidRDefault="00FF38C9" w:rsidP="00522F6E">
            <w:pPr>
              <w:spacing w:after="0" w:line="240" w:lineRule="auto"/>
              <w:jc w:val="both"/>
              <w:rPr>
                <w:rFonts w:ascii="Palatino Linotype" w:eastAsia="Times New Roman" w:hAnsi="Palatino Linotype" w:cs="Arial"/>
                <w:iCs/>
                <w:sz w:val="24"/>
                <w:szCs w:val="24"/>
              </w:rPr>
            </w:pPr>
          </w:p>
          <w:p w:rsidR="00FF38C9" w:rsidRPr="00C02759" w:rsidRDefault="00FF38C9" w:rsidP="00FF38C9">
            <w:pPr>
              <w:pStyle w:val="Prrafodelista"/>
              <w:numPr>
                <w:ilvl w:val="0"/>
                <w:numId w:val="11"/>
              </w:numPr>
              <w:spacing w:after="0" w:line="240" w:lineRule="auto"/>
              <w:jc w:val="both"/>
              <w:rPr>
                <w:rFonts w:ascii="Palatino Linotype" w:eastAsia="Times New Roman" w:hAnsi="Palatino Linotype" w:cs="Arial"/>
                <w:iCs/>
                <w:sz w:val="24"/>
                <w:szCs w:val="24"/>
              </w:rPr>
            </w:pPr>
            <w:r w:rsidRPr="00C02759">
              <w:rPr>
                <w:rFonts w:ascii="Palatino Linotype" w:eastAsia="Times New Roman" w:hAnsi="Palatino Linotype" w:cs="Arial"/>
                <w:bCs/>
                <w:iCs/>
                <w:sz w:val="24"/>
                <w:szCs w:val="24"/>
              </w:rPr>
              <w:t>No permite d</w:t>
            </w:r>
            <w:r w:rsidRPr="00C02759">
              <w:rPr>
                <w:rFonts w:ascii="Palatino Linotype" w:eastAsia="Times New Roman" w:hAnsi="Palatino Linotype" w:cs="Arial"/>
                <w:iCs/>
                <w:sz w:val="24"/>
                <w:szCs w:val="24"/>
              </w:rPr>
              <w:t>etectar problemas en la organización interna, “cuellos de botella”, problemas en los archivos, etc.</w:t>
            </w:r>
          </w:p>
          <w:p w:rsidR="00FF38C9" w:rsidRPr="00C02759" w:rsidRDefault="00FF38C9" w:rsidP="00FF38C9">
            <w:pPr>
              <w:spacing w:after="0" w:line="240" w:lineRule="auto"/>
              <w:jc w:val="both"/>
              <w:rPr>
                <w:rFonts w:ascii="Palatino Linotype" w:eastAsia="Times New Roman" w:hAnsi="Palatino Linotype" w:cs="Arial"/>
                <w:iCs/>
                <w:sz w:val="24"/>
                <w:szCs w:val="24"/>
              </w:rPr>
            </w:pPr>
          </w:p>
          <w:p w:rsidR="00FF38C9" w:rsidRPr="00C02759" w:rsidRDefault="00FF38C9" w:rsidP="00FF38C9">
            <w:pPr>
              <w:pStyle w:val="Prrafodelista"/>
              <w:numPr>
                <w:ilvl w:val="0"/>
                <w:numId w:val="11"/>
              </w:numPr>
              <w:spacing w:after="0" w:line="240" w:lineRule="auto"/>
              <w:jc w:val="both"/>
              <w:rPr>
                <w:rFonts w:ascii="Palatino Linotype" w:eastAsia="Times New Roman" w:hAnsi="Palatino Linotype" w:cs="Arial"/>
                <w:iCs/>
                <w:sz w:val="24"/>
                <w:szCs w:val="24"/>
              </w:rPr>
            </w:pPr>
            <w:r w:rsidRPr="00C02759">
              <w:rPr>
                <w:rFonts w:ascii="Palatino Linotype" w:eastAsia="Times New Roman" w:hAnsi="Palatino Linotype" w:cs="Arial"/>
                <w:bCs/>
                <w:iCs/>
                <w:sz w:val="24"/>
                <w:szCs w:val="24"/>
              </w:rPr>
              <w:t xml:space="preserve">No permite mejorar el servicio público, ahorrar tiempo, esfuerzo y gasto </w:t>
            </w:r>
          </w:p>
          <w:p w:rsidR="00FF38C9" w:rsidRPr="00C02759" w:rsidRDefault="00FF38C9" w:rsidP="00522F6E">
            <w:pPr>
              <w:spacing w:after="0" w:line="240" w:lineRule="auto"/>
              <w:jc w:val="both"/>
              <w:rPr>
                <w:rFonts w:ascii="Palatino Linotype" w:eastAsia="Times New Roman" w:hAnsi="Palatino Linotype" w:cs="Arial"/>
                <w:iCs/>
                <w:sz w:val="24"/>
                <w:szCs w:val="24"/>
              </w:rPr>
            </w:pPr>
          </w:p>
          <w:p w:rsidR="00CB694E" w:rsidRPr="00C02759" w:rsidRDefault="00FF38C9" w:rsidP="003D64C4">
            <w:pPr>
              <w:pStyle w:val="Prrafodelista"/>
              <w:numPr>
                <w:ilvl w:val="0"/>
                <w:numId w:val="11"/>
              </w:numPr>
              <w:spacing w:after="0" w:line="240" w:lineRule="auto"/>
              <w:jc w:val="both"/>
              <w:rPr>
                <w:rFonts w:ascii="Palatino Linotype" w:eastAsia="Times New Roman" w:hAnsi="Palatino Linotype" w:cs="Arial"/>
                <w:iCs/>
                <w:sz w:val="24"/>
                <w:szCs w:val="24"/>
              </w:rPr>
            </w:pPr>
            <w:r w:rsidRPr="00C02759">
              <w:rPr>
                <w:rFonts w:ascii="Palatino Linotype" w:eastAsia="Times New Roman" w:hAnsi="Palatino Linotype" w:cs="Arial"/>
                <w:bCs/>
                <w:iCs/>
                <w:sz w:val="24"/>
                <w:szCs w:val="24"/>
              </w:rPr>
              <w:t xml:space="preserve">No </w:t>
            </w:r>
            <w:r w:rsidR="003D64C4" w:rsidRPr="00C02759">
              <w:rPr>
                <w:rFonts w:ascii="Palatino Linotype" w:eastAsia="Times New Roman" w:hAnsi="Palatino Linotype" w:cs="Arial"/>
                <w:bCs/>
                <w:iCs/>
                <w:sz w:val="24"/>
                <w:szCs w:val="24"/>
              </w:rPr>
              <w:t xml:space="preserve">se genera la </w:t>
            </w:r>
            <w:r w:rsidRPr="00C02759">
              <w:rPr>
                <w:rFonts w:ascii="Palatino Linotype" w:eastAsia="Times New Roman" w:hAnsi="Palatino Linotype" w:cs="Arial"/>
                <w:bCs/>
                <w:iCs/>
                <w:sz w:val="24"/>
                <w:szCs w:val="24"/>
              </w:rPr>
              <w:t xml:space="preserve">confianza </w:t>
            </w:r>
            <w:r w:rsidR="003D64C4" w:rsidRPr="00C02759">
              <w:rPr>
                <w:rFonts w:ascii="Palatino Linotype" w:eastAsia="Times New Roman" w:hAnsi="Palatino Linotype" w:cs="Arial"/>
                <w:iCs/>
                <w:sz w:val="24"/>
                <w:szCs w:val="24"/>
              </w:rPr>
              <w:t xml:space="preserve">de la ciudadanía con </w:t>
            </w:r>
            <w:r w:rsidRPr="00C02759">
              <w:rPr>
                <w:rFonts w:ascii="Palatino Linotype" w:eastAsia="Times New Roman" w:hAnsi="Palatino Linotype" w:cs="Arial"/>
                <w:iCs/>
                <w:sz w:val="24"/>
                <w:szCs w:val="24"/>
              </w:rPr>
              <w:t xml:space="preserve">sus autoridades. </w:t>
            </w:r>
          </w:p>
        </w:tc>
      </w:tr>
    </w:tbl>
    <w:p w:rsidR="00985697" w:rsidRPr="00C02759" w:rsidRDefault="00985697">
      <w:pPr>
        <w:rPr>
          <w:rFonts w:ascii="Palatino Linotype" w:hAnsi="Palatino Linotype"/>
          <w:sz w:val="24"/>
          <w:szCs w:val="24"/>
        </w:rPr>
      </w:pPr>
      <w:r w:rsidRPr="00C02759">
        <w:rPr>
          <w:rFonts w:ascii="Palatino Linotype" w:hAnsi="Palatino Linotype"/>
          <w:sz w:val="24"/>
          <w:szCs w:val="24"/>
        </w:rPr>
        <w:br w:type="page"/>
      </w: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522F6E" w:rsidRPr="00C02759" w:rsidTr="00882082">
        <w:tc>
          <w:tcPr>
            <w:tcW w:w="2093" w:type="dxa"/>
            <w:shd w:val="clear" w:color="auto" w:fill="auto"/>
          </w:tcPr>
          <w:p w:rsidR="00882082" w:rsidRPr="00C02759" w:rsidRDefault="00882082"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lastRenderedPageBreak/>
              <w:t xml:space="preserve">Consideraciones </w:t>
            </w:r>
          </w:p>
          <w:p w:rsidR="00522F6E" w:rsidRPr="00C02759" w:rsidRDefault="00882082" w:rsidP="0033112F">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sz w:val="24"/>
                <w:szCs w:val="24"/>
                <w:lang w:val="es-MX"/>
              </w:rPr>
              <w:t>(Posición sobre el tema)</w:t>
            </w:r>
          </w:p>
        </w:tc>
        <w:tc>
          <w:tcPr>
            <w:tcW w:w="6885" w:type="dxa"/>
            <w:shd w:val="clear" w:color="auto" w:fill="auto"/>
          </w:tcPr>
          <w:p w:rsidR="000F2CBE" w:rsidRPr="00C02759" w:rsidRDefault="004960CD" w:rsidP="00985697">
            <w:pPr>
              <w:jc w:val="both"/>
              <w:rPr>
                <w:rFonts w:ascii="Palatino Linotype" w:hAnsi="Palatino Linotype"/>
                <w:sz w:val="24"/>
                <w:szCs w:val="24"/>
              </w:rPr>
            </w:pPr>
            <w:r w:rsidRPr="00C02759">
              <w:rPr>
                <w:rFonts w:ascii="Palatino Linotype" w:eastAsia="Times New Roman" w:hAnsi="Palatino Linotype" w:cs="Arial"/>
                <w:iCs/>
                <w:sz w:val="24"/>
                <w:szCs w:val="24"/>
                <w:lang w:val="es-MX"/>
              </w:rPr>
              <w:t xml:space="preserve">A nivel normativo, </w:t>
            </w:r>
            <w:r w:rsidR="008F6174" w:rsidRPr="00C02759">
              <w:rPr>
                <w:rFonts w:ascii="Palatino Linotype" w:eastAsia="Times New Roman" w:hAnsi="Palatino Linotype" w:cs="Arial"/>
                <w:iCs/>
                <w:sz w:val="24"/>
                <w:szCs w:val="24"/>
                <w:lang w:val="es-MX"/>
              </w:rPr>
              <w:t>para limitar el acceso a la información</w:t>
            </w:r>
            <w:r w:rsidRPr="00C02759">
              <w:rPr>
                <w:rFonts w:ascii="Palatino Linotype" w:eastAsia="Times New Roman" w:hAnsi="Palatino Linotype" w:cs="Arial"/>
                <w:iCs/>
                <w:sz w:val="24"/>
                <w:szCs w:val="24"/>
                <w:lang w:val="es-MX"/>
              </w:rPr>
              <w:t xml:space="preserve"> de manera parcial o total en el Perú, </w:t>
            </w:r>
            <w:r w:rsidR="008F6174" w:rsidRPr="00C02759">
              <w:rPr>
                <w:rFonts w:ascii="Palatino Linotype" w:eastAsia="Times New Roman" w:hAnsi="Palatino Linotype" w:cs="Arial"/>
                <w:iCs/>
                <w:sz w:val="24"/>
                <w:szCs w:val="24"/>
                <w:lang w:val="es-MX"/>
              </w:rPr>
              <w:t>el funcionario responsable</w:t>
            </w:r>
            <w:r w:rsidR="00133E46" w:rsidRPr="00C02759">
              <w:rPr>
                <w:rFonts w:ascii="Palatino Linotype" w:eastAsia="Times New Roman" w:hAnsi="Palatino Linotype" w:cs="Arial"/>
                <w:iCs/>
                <w:sz w:val="24"/>
                <w:szCs w:val="24"/>
                <w:lang w:val="es-MX"/>
              </w:rPr>
              <w:t xml:space="preserve"> de entregar la información, </w:t>
            </w:r>
            <w:r w:rsidR="00133E46" w:rsidRPr="00C02759">
              <w:rPr>
                <w:rFonts w:ascii="Palatino Linotype" w:eastAsia="Times New Roman" w:hAnsi="Palatino Linotype" w:cs="Arial"/>
                <w:iCs/>
                <w:sz w:val="24"/>
                <w:szCs w:val="24"/>
              </w:rPr>
              <w:t>debe</w:t>
            </w:r>
            <w:r w:rsidR="00133E46" w:rsidRPr="00C02759">
              <w:rPr>
                <w:rFonts w:ascii="Palatino Linotype" w:eastAsia="Times New Roman" w:hAnsi="Palatino Linotype" w:cs="Arial"/>
                <w:iCs/>
                <w:sz w:val="24"/>
                <w:szCs w:val="24"/>
                <w:lang w:val="es-MX"/>
              </w:rPr>
              <w:t>funda</w:t>
            </w:r>
            <w:r w:rsidR="008F6174" w:rsidRPr="00C02759">
              <w:rPr>
                <w:rFonts w:ascii="Palatino Linotype" w:eastAsia="Times New Roman" w:hAnsi="Palatino Linotype" w:cs="Arial"/>
                <w:iCs/>
                <w:sz w:val="24"/>
                <w:szCs w:val="24"/>
                <w:lang w:val="es-MX"/>
              </w:rPr>
              <w:t xml:space="preserve">mentar debidamente la negativa en base a las </w:t>
            </w:r>
            <w:r w:rsidR="008F6174" w:rsidRPr="00C02759">
              <w:rPr>
                <w:rFonts w:ascii="Palatino Linotype" w:hAnsi="Palatino Linotype"/>
                <w:sz w:val="24"/>
                <w:szCs w:val="24"/>
              </w:rPr>
              <w:t>excepciones de los artículos 15 a 17</w:t>
            </w:r>
            <w:r w:rsidR="00133E46" w:rsidRPr="00C02759">
              <w:rPr>
                <w:rFonts w:ascii="Palatino Linotype" w:hAnsi="Palatino Linotype"/>
                <w:sz w:val="24"/>
                <w:szCs w:val="24"/>
              </w:rPr>
              <w:t xml:space="preserve"> del </w:t>
            </w:r>
            <w:r w:rsidR="008F6174" w:rsidRPr="00C02759">
              <w:rPr>
                <w:rFonts w:ascii="Palatino Linotype" w:eastAsia="Times New Roman" w:hAnsi="Palatino Linotype" w:cs="Arial"/>
                <w:iCs/>
                <w:sz w:val="24"/>
                <w:szCs w:val="24"/>
              </w:rPr>
              <w:t>Texto Único Ordenado de la Ley de Transparencia y Acceso a la Información Pública, Ley Nº 27806</w:t>
            </w:r>
            <w:r w:rsidR="008F6174" w:rsidRPr="00C02759">
              <w:rPr>
                <w:rFonts w:ascii="Palatino Linotype" w:hAnsi="Palatino Linotype"/>
                <w:sz w:val="24"/>
                <w:szCs w:val="24"/>
              </w:rPr>
              <w:t xml:space="preserve"> Ley</w:t>
            </w:r>
            <w:r w:rsidR="00F14FFC">
              <w:rPr>
                <w:rFonts w:ascii="Palatino Linotype" w:hAnsi="Palatino Linotype"/>
                <w:sz w:val="24"/>
                <w:szCs w:val="24"/>
              </w:rPr>
              <w:t xml:space="preserve">, </w:t>
            </w:r>
            <w:r w:rsidR="000F2CBE" w:rsidRPr="00C02759">
              <w:rPr>
                <w:rFonts w:ascii="Palatino Linotype" w:hAnsi="Palatino Linotype"/>
                <w:sz w:val="24"/>
                <w:szCs w:val="24"/>
              </w:rPr>
              <w:t>señalando expresamente y por escrito las razones por las que se aplican esas excepciones y el plazo por el que se prolongará dicho impedimento</w:t>
            </w:r>
            <w:r w:rsidR="008F6174" w:rsidRPr="00C02759">
              <w:rPr>
                <w:rFonts w:ascii="Palatino Linotype" w:hAnsi="Palatino Linotype"/>
                <w:sz w:val="24"/>
                <w:szCs w:val="24"/>
              </w:rPr>
              <w:t>.</w:t>
            </w:r>
            <w:r w:rsidR="000F2CBE" w:rsidRPr="00C02759">
              <w:rPr>
                <w:rStyle w:val="Refdenotaalpie"/>
                <w:rFonts w:ascii="Palatino Linotype" w:hAnsi="Palatino Linotype"/>
                <w:sz w:val="24"/>
                <w:szCs w:val="24"/>
              </w:rPr>
              <w:footnoteReference w:id="4"/>
            </w:r>
          </w:p>
          <w:p w:rsidR="000F2CBE" w:rsidRPr="00C02759" w:rsidRDefault="00982F40" w:rsidP="00133E46">
            <w:pPr>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rPr>
              <w:t xml:space="preserve">Al respecto, </w:t>
            </w:r>
            <w:r w:rsidR="00D85C16" w:rsidRPr="00C02759">
              <w:rPr>
                <w:rFonts w:ascii="Palatino Linotype" w:eastAsia="Times New Roman" w:hAnsi="Palatino Linotype" w:cs="Arial"/>
                <w:iCs/>
                <w:sz w:val="24"/>
                <w:szCs w:val="24"/>
              </w:rPr>
              <w:t xml:space="preserve">el Tribunal Constitución </w:t>
            </w:r>
            <w:r w:rsidRPr="00C02759">
              <w:rPr>
                <w:rFonts w:ascii="Palatino Linotype" w:eastAsia="Times New Roman" w:hAnsi="Palatino Linotype" w:cs="Arial"/>
                <w:iCs/>
                <w:sz w:val="24"/>
                <w:szCs w:val="24"/>
              </w:rPr>
              <w:t>h</w:t>
            </w:r>
            <w:r w:rsidR="00D85C16" w:rsidRPr="00C02759">
              <w:rPr>
                <w:rFonts w:ascii="Palatino Linotype" w:eastAsia="Times New Roman" w:hAnsi="Palatino Linotype" w:cs="Arial"/>
                <w:iCs/>
                <w:sz w:val="24"/>
                <w:szCs w:val="24"/>
              </w:rPr>
              <w:t xml:space="preserve">a </w:t>
            </w:r>
            <w:r w:rsidR="000F2CBE" w:rsidRPr="00C02759">
              <w:rPr>
                <w:rFonts w:ascii="Palatino Linotype" w:eastAsia="Times New Roman" w:hAnsi="Palatino Linotype" w:cs="Arial"/>
                <w:iCs/>
                <w:sz w:val="24"/>
                <w:szCs w:val="24"/>
              </w:rPr>
              <w:t>precisado que pa</w:t>
            </w:r>
            <w:r w:rsidR="00D62E46" w:rsidRPr="00C02759">
              <w:rPr>
                <w:rFonts w:ascii="Palatino Linotype" w:eastAsia="Times New Roman" w:hAnsi="Palatino Linotype" w:cs="Arial"/>
                <w:iCs/>
                <w:sz w:val="24"/>
                <w:szCs w:val="24"/>
              </w:rPr>
              <w:t>ra justificar adecuadamente la negativa</w:t>
            </w:r>
            <w:r w:rsidR="000F2CBE" w:rsidRPr="00C02759">
              <w:rPr>
                <w:rFonts w:ascii="Palatino Linotype" w:eastAsia="Times New Roman" w:hAnsi="Palatino Linotype" w:cs="Arial"/>
                <w:iCs/>
                <w:sz w:val="24"/>
                <w:szCs w:val="24"/>
              </w:rPr>
              <w:t xml:space="preserve"> se debe cumplir con los siguiente pasos:</w:t>
            </w:r>
          </w:p>
          <w:p w:rsidR="000F2CBE" w:rsidRPr="00C02759" w:rsidRDefault="000F2CBE" w:rsidP="00133E46">
            <w:pPr>
              <w:jc w:val="both"/>
              <w:rPr>
                <w:rFonts w:ascii="Palatino Linotype" w:eastAsia="Times New Roman" w:hAnsi="Palatino Linotype" w:cs="Arial"/>
                <w:iCs/>
                <w:sz w:val="24"/>
                <w:szCs w:val="24"/>
              </w:rPr>
            </w:pPr>
            <w:r w:rsidRPr="00C02759">
              <w:rPr>
                <w:rFonts w:ascii="Palatino Linotype" w:eastAsia="Times New Roman" w:hAnsi="Palatino Linotype" w:cs="Arial"/>
                <w:b/>
                <w:iCs/>
                <w:sz w:val="24"/>
                <w:szCs w:val="24"/>
              </w:rPr>
              <w:t>1. Comprobar que la información solicitada se encuentra comprendida en alguna excepción legal para negar el pedido de acceso</w:t>
            </w:r>
            <w:r w:rsidRPr="00C02759">
              <w:rPr>
                <w:rFonts w:ascii="Palatino Linotype" w:eastAsia="Times New Roman" w:hAnsi="Palatino Linotype" w:cs="Arial"/>
                <w:iCs/>
                <w:sz w:val="24"/>
                <w:szCs w:val="24"/>
              </w:rPr>
              <w:t>.</w:t>
            </w:r>
            <w:r w:rsidR="000D65AF" w:rsidRPr="00C02759">
              <w:rPr>
                <w:rStyle w:val="Refdenotaalpie"/>
                <w:rFonts w:ascii="Palatino Linotype" w:eastAsia="Times New Roman" w:hAnsi="Palatino Linotype" w:cs="Arial"/>
                <w:iCs/>
                <w:sz w:val="24"/>
                <w:szCs w:val="24"/>
              </w:rPr>
              <w:footnoteReference w:id="5"/>
            </w:r>
          </w:p>
          <w:p w:rsidR="000D65AF" w:rsidRPr="00C02759" w:rsidRDefault="000F2CBE" w:rsidP="00133E46">
            <w:pPr>
              <w:jc w:val="both"/>
              <w:rPr>
                <w:rFonts w:ascii="Palatino Linotype" w:eastAsia="Times New Roman" w:hAnsi="Palatino Linotype" w:cs="Arial"/>
                <w:bCs/>
                <w:iCs/>
                <w:sz w:val="24"/>
                <w:szCs w:val="24"/>
                <w:lang w:val="es-PE"/>
              </w:rPr>
            </w:pPr>
            <w:r w:rsidRPr="00C02759">
              <w:rPr>
                <w:rFonts w:ascii="Palatino Linotype" w:eastAsia="Times New Roman" w:hAnsi="Palatino Linotype" w:cs="Arial"/>
                <w:b/>
                <w:iCs/>
                <w:sz w:val="24"/>
                <w:szCs w:val="24"/>
              </w:rPr>
              <w:t xml:space="preserve">2. </w:t>
            </w:r>
            <w:r w:rsidR="000D65AF" w:rsidRPr="00C02759">
              <w:rPr>
                <w:rFonts w:ascii="Palatino Linotype" w:eastAsia="Times New Roman" w:hAnsi="Palatino Linotype" w:cs="Arial"/>
                <w:b/>
                <w:iCs/>
                <w:sz w:val="24"/>
                <w:szCs w:val="24"/>
              </w:rPr>
              <w:t xml:space="preserve">Probar que </w:t>
            </w:r>
            <w:r w:rsidR="000D65AF" w:rsidRPr="00C02759">
              <w:rPr>
                <w:rFonts w:ascii="Palatino Linotype" w:eastAsia="Times New Roman" w:hAnsi="Palatino Linotype" w:cs="Arial"/>
                <w:b/>
                <w:bCs/>
                <w:iCs/>
                <w:sz w:val="24"/>
                <w:szCs w:val="24"/>
                <w:lang w:val="es-PE"/>
              </w:rPr>
              <w:t>la divulgación de la información daña el bien jurídico o el derecho protegido por las excepciones al derecho de acceso.</w:t>
            </w:r>
            <w:r w:rsidR="000D65AF" w:rsidRPr="00C02759">
              <w:rPr>
                <w:rStyle w:val="Refdenotaalpie"/>
                <w:rFonts w:ascii="Palatino Linotype" w:eastAsia="Times New Roman" w:hAnsi="Palatino Linotype" w:cs="Arial"/>
                <w:iCs/>
                <w:sz w:val="24"/>
                <w:szCs w:val="24"/>
              </w:rPr>
              <w:footnoteReference w:id="6"/>
            </w:r>
          </w:p>
          <w:p w:rsidR="000D65AF" w:rsidRPr="00C02759" w:rsidRDefault="00D16E01" w:rsidP="000D65AF">
            <w:pPr>
              <w:jc w:val="both"/>
              <w:rPr>
                <w:rFonts w:ascii="Palatino Linotype" w:eastAsia="Times New Roman" w:hAnsi="Palatino Linotype" w:cs="Arial"/>
                <w:iCs/>
                <w:sz w:val="24"/>
                <w:szCs w:val="24"/>
                <w:lang w:val="es-PE"/>
              </w:rPr>
            </w:pPr>
            <w:r>
              <w:rPr>
                <w:rFonts w:ascii="Palatino Linotype" w:eastAsia="Times New Roman" w:hAnsi="Palatino Linotype" w:cs="Arial"/>
                <w:bCs/>
                <w:iCs/>
                <w:sz w:val="24"/>
                <w:szCs w:val="24"/>
                <w:lang w:val="es-PE"/>
              </w:rPr>
              <w:t xml:space="preserve">Por ejemplo, </w:t>
            </w:r>
            <w:r w:rsidR="0011178E" w:rsidRPr="00C02759">
              <w:rPr>
                <w:rFonts w:ascii="Palatino Linotype" w:eastAsia="Times New Roman" w:hAnsi="Palatino Linotype" w:cs="Arial"/>
                <w:bCs/>
                <w:iCs/>
                <w:sz w:val="24"/>
                <w:szCs w:val="24"/>
              </w:rPr>
              <w:t xml:space="preserve">el </w:t>
            </w:r>
            <w:r>
              <w:rPr>
                <w:rFonts w:ascii="Palatino Linotype" w:eastAsia="Times New Roman" w:hAnsi="Palatino Linotype" w:cs="Arial"/>
                <w:bCs/>
                <w:iCs/>
                <w:sz w:val="24"/>
                <w:szCs w:val="24"/>
              </w:rPr>
              <w:t xml:space="preserve">referido </w:t>
            </w:r>
            <w:r w:rsidR="0011178E" w:rsidRPr="00C02759">
              <w:rPr>
                <w:rFonts w:ascii="Palatino Linotype" w:eastAsia="Times New Roman" w:hAnsi="Palatino Linotype" w:cs="Arial"/>
                <w:bCs/>
                <w:iCs/>
                <w:sz w:val="24"/>
                <w:szCs w:val="24"/>
              </w:rPr>
              <w:t xml:space="preserve">Tribunal </w:t>
            </w:r>
            <w:r>
              <w:rPr>
                <w:rFonts w:ascii="Palatino Linotype" w:eastAsia="Times New Roman" w:hAnsi="Palatino Linotype" w:cs="Arial"/>
                <w:bCs/>
                <w:iCs/>
                <w:sz w:val="24"/>
                <w:szCs w:val="24"/>
              </w:rPr>
              <w:t xml:space="preserve">ha señalado que </w:t>
            </w:r>
            <w:r w:rsidR="000D65AF" w:rsidRPr="00C02759">
              <w:rPr>
                <w:rFonts w:ascii="Palatino Linotype" w:eastAsia="Times New Roman" w:hAnsi="Palatino Linotype" w:cs="Arial"/>
                <w:iCs/>
                <w:sz w:val="24"/>
                <w:szCs w:val="24"/>
                <w:lang w:val="es-PE"/>
              </w:rPr>
              <w:t>«(…) [n]</w:t>
            </w:r>
            <w:r w:rsidR="000D65AF" w:rsidRPr="00C02759">
              <w:rPr>
                <w:rFonts w:ascii="Palatino Linotype" w:eastAsia="Times New Roman" w:hAnsi="Palatino Linotype" w:cs="Arial"/>
                <w:bCs/>
                <w:iCs/>
                <w:sz w:val="24"/>
                <w:szCs w:val="24"/>
                <w:lang w:val="es-PE"/>
              </w:rPr>
              <w:t xml:space="preserve">o basta con alegarse </w:t>
            </w:r>
            <w:r w:rsidR="000D65AF" w:rsidRPr="00C02759">
              <w:rPr>
                <w:rFonts w:ascii="Palatino Linotype" w:eastAsia="Times New Roman" w:hAnsi="Palatino Linotype" w:cs="Arial"/>
                <w:iCs/>
                <w:sz w:val="24"/>
                <w:szCs w:val="24"/>
                <w:lang w:val="es-PE"/>
              </w:rPr>
              <w:t xml:space="preserve">que la información pueda afectar la seguridad y/o poner en riesgo la vida e integridad de las personas involucradas, sino que </w:t>
            </w:r>
            <w:r w:rsidR="000D65AF" w:rsidRPr="00C02759">
              <w:rPr>
                <w:rFonts w:ascii="Palatino Linotype" w:eastAsia="Times New Roman" w:hAnsi="Palatino Linotype" w:cs="Arial"/>
                <w:bCs/>
                <w:iCs/>
                <w:sz w:val="24"/>
                <w:szCs w:val="24"/>
                <w:lang w:val="es-PE"/>
              </w:rPr>
              <w:t>ello debe ser meridianamente acreditado</w:t>
            </w:r>
            <w:r w:rsidR="000D65AF" w:rsidRPr="00C02759">
              <w:rPr>
                <w:rFonts w:ascii="Palatino Linotype" w:eastAsia="Times New Roman" w:hAnsi="Palatino Linotype" w:cs="Arial"/>
                <w:iCs/>
                <w:sz w:val="24"/>
                <w:szCs w:val="24"/>
                <w:lang w:val="es-PE"/>
              </w:rPr>
              <w:t>»</w:t>
            </w:r>
            <w:r w:rsidR="00094CB9" w:rsidRPr="00C02759">
              <w:rPr>
                <w:rStyle w:val="Refdenotaalpie"/>
                <w:rFonts w:ascii="Palatino Linotype" w:eastAsia="Times New Roman" w:hAnsi="Palatino Linotype" w:cs="Arial"/>
                <w:iCs/>
                <w:sz w:val="24"/>
                <w:szCs w:val="24"/>
                <w:lang w:val="es-PE"/>
              </w:rPr>
              <w:footnoteReference w:id="7"/>
            </w:r>
          </w:p>
          <w:p w:rsidR="002778CB" w:rsidRPr="00C02759" w:rsidRDefault="00094CB9" w:rsidP="002778CB">
            <w:pPr>
              <w:jc w:val="both"/>
              <w:rPr>
                <w:rFonts w:ascii="Palatino Linotype" w:eastAsia="Times New Roman" w:hAnsi="Palatino Linotype" w:cs="Arial"/>
                <w:b/>
                <w:bCs/>
                <w:iCs/>
                <w:sz w:val="24"/>
                <w:szCs w:val="24"/>
              </w:rPr>
            </w:pPr>
            <w:r w:rsidRPr="00C02759">
              <w:rPr>
                <w:rFonts w:ascii="Palatino Linotype" w:eastAsia="Times New Roman" w:hAnsi="Palatino Linotype" w:cs="Arial"/>
                <w:b/>
                <w:iCs/>
                <w:sz w:val="24"/>
                <w:szCs w:val="24"/>
                <w:lang w:val="es-PE"/>
              </w:rPr>
              <w:t xml:space="preserve">3. </w:t>
            </w:r>
            <w:r w:rsidR="002778CB" w:rsidRPr="00C02759">
              <w:rPr>
                <w:rFonts w:ascii="Palatino Linotype" w:eastAsia="Times New Roman" w:hAnsi="Palatino Linotype" w:cs="Arial"/>
                <w:b/>
                <w:bCs/>
                <w:iCs/>
                <w:sz w:val="24"/>
                <w:szCs w:val="24"/>
              </w:rPr>
              <w:t>Ponderar entre el</w:t>
            </w:r>
            <w:r w:rsidRPr="00C02759">
              <w:rPr>
                <w:rFonts w:ascii="Palatino Linotype" w:eastAsia="Times New Roman" w:hAnsi="Palatino Linotype" w:cs="Arial"/>
                <w:b/>
                <w:bCs/>
                <w:iCs/>
                <w:sz w:val="24"/>
                <w:szCs w:val="24"/>
              </w:rPr>
              <w:t xml:space="preserve"> daño por divulgar la información </w:t>
            </w:r>
            <w:r w:rsidR="002778CB" w:rsidRPr="00C02759">
              <w:rPr>
                <w:rFonts w:ascii="Palatino Linotype" w:eastAsia="Times New Roman" w:hAnsi="Palatino Linotype" w:cs="Arial"/>
                <w:b/>
                <w:bCs/>
                <w:iCs/>
                <w:sz w:val="24"/>
                <w:szCs w:val="24"/>
              </w:rPr>
              <w:t xml:space="preserve">y el </w:t>
            </w:r>
            <w:r w:rsidRPr="00C02759">
              <w:rPr>
                <w:rFonts w:ascii="Palatino Linotype" w:eastAsia="Times New Roman" w:hAnsi="Palatino Linotype" w:cs="Arial"/>
                <w:b/>
                <w:bCs/>
                <w:iCs/>
                <w:sz w:val="24"/>
                <w:szCs w:val="24"/>
              </w:rPr>
              <w:t xml:space="preserve">daño ocasionado por negarle al </w:t>
            </w:r>
            <w:r w:rsidR="002778CB" w:rsidRPr="00C02759">
              <w:rPr>
                <w:rFonts w:ascii="Palatino Linotype" w:eastAsia="Times New Roman" w:hAnsi="Palatino Linotype" w:cs="Arial"/>
                <w:b/>
                <w:bCs/>
                <w:iCs/>
                <w:sz w:val="24"/>
                <w:szCs w:val="24"/>
              </w:rPr>
              <w:t>público conocer la información.</w:t>
            </w:r>
          </w:p>
          <w:p w:rsidR="00995BBD" w:rsidRPr="00C02759" w:rsidRDefault="002778CB" w:rsidP="004F4028">
            <w:pPr>
              <w:spacing w:after="0" w:line="240" w:lineRule="auto"/>
              <w:jc w:val="both"/>
              <w:rPr>
                <w:rFonts w:ascii="Palatino Linotype" w:eastAsia="Times New Roman" w:hAnsi="Palatino Linotype" w:cs="Arial"/>
                <w:iCs/>
                <w:sz w:val="24"/>
                <w:szCs w:val="24"/>
                <w:lang w:val="es-PE"/>
              </w:rPr>
            </w:pPr>
            <w:r w:rsidRPr="00C02759">
              <w:rPr>
                <w:rFonts w:ascii="Palatino Linotype" w:eastAsia="Times New Roman" w:hAnsi="Palatino Linotype" w:cs="Arial"/>
                <w:bCs/>
                <w:iCs/>
                <w:sz w:val="24"/>
                <w:szCs w:val="24"/>
              </w:rPr>
              <w:t xml:space="preserve">Al respecto, el Tribunal </w:t>
            </w:r>
            <w:r w:rsidR="00D16E01">
              <w:rPr>
                <w:rFonts w:ascii="Palatino Linotype" w:eastAsia="Times New Roman" w:hAnsi="Palatino Linotype" w:cs="Arial"/>
                <w:bCs/>
                <w:iCs/>
                <w:sz w:val="24"/>
                <w:szCs w:val="24"/>
              </w:rPr>
              <w:t xml:space="preserve">precisó </w:t>
            </w:r>
            <w:r w:rsidRPr="00C02759">
              <w:rPr>
                <w:rFonts w:ascii="Palatino Linotype" w:hAnsi="Palatino Linotype" w:cs="Arial"/>
                <w:sz w:val="24"/>
                <w:szCs w:val="24"/>
                <w:lang w:val="es-PE"/>
              </w:rPr>
              <w:t>que</w:t>
            </w:r>
            <w:r w:rsidR="004F4028" w:rsidRPr="00C02759">
              <w:rPr>
                <w:rFonts w:ascii="Palatino Linotype" w:eastAsia="Times New Roman" w:hAnsi="Palatino Linotype" w:cs="Arial"/>
                <w:iCs/>
                <w:sz w:val="24"/>
                <w:szCs w:val="24"/>
                <w:lang w:val="es-PE"/>
              </w:rPr>
              <w:t>«</w:t>
            </w:r>
            <w:r w:rsidR="00995BBD" w:rsidRPr="00C02759">
              <w:rPr>
                <w:rFonts w:ascii="Palatino Linotype" w:eastAsia="Times New Roman" w:hAnsi="Palatino Linotype" w:cs="Arial"/>
                <w:sz w:val="24"/>
                <w:szCs w:val="24"/>
                <w:lang w:eastAsia="es-ES"/>
              </w:rPr>
              <w:t xml:space="preserve">en la medida en </w:t>
            </w:r>
            <w:r w:rsidR="004F4028" w:rsidRPr="00C02759">
              <w:rPr>
                <w:rFonts w:ascii="Palatino Linotype" w:eastAsia="Times New Roman" w:hAnsi="Palatino Linotype" w:cs="Arial"/>
                <w:sz w:val="24"/>
                <w:szCs w:val="24"/>
                <w:lang w:eastAsia="es-ES"/>
              </w:rPr>
              <w:t>q</w:t>
            </w:r>
            <w:r w:rsidR="00995BBD" w:rsidRPr="00C02759">
              <w:rPr>
                <w:rFonts w:ascii="Palatino Linotype" w:eastAsia="Times New Roman" w:hAnsi="Palatino Linotype" w:cs="Arial"/>
                <w:sz w:val="24"/>
                <w:szCs w:val="24"/>
                <w:lang w:eastAsia="es-ES"/>
              </w:rPr>
              <w:t xml:space="preserve">ue el </w:t>
            </w:r>
            <w:r w:rsidR="00995BBD" w:rsidRPr="00C02759">
              <w:rPr>
                <w:rFonts w:ascii="Palatino Linotype" w:eastAsia="Times New Roman" w:hAnsi="Palatino Linotype" w:cs="Arial"/>
                <w:sz w:val="24"/>
                <w:szCs w:val="24"/>
                <w:lang w:eastAsia="es-ES"/>
              </w:rPr>
              <w:lastRenderedPageBreak/>
              <w:t>marco de un proceso constitucional no solamente se debe tener en cuenta  tutela del derecho invocado sino la defensa de la Constitución, el juez constitucional, al emitir sus decisiones, debe ponderar también los efectos que estas puedan tener en otros derechos fundamentales o bienes de relevancia  constitucional, de modo tal que dichos efectos puedan ser modulados en atención a tales derechos fundamentales o bienes de relevancia constitucional</w:t>
            </w:r>
            <w:r w:rsidR="004F4028" w:rsidRPr="00C02759">
              <w:rPr>
                <w:rFonts w:ascii="Palatino Linotype" w:eastAsia="Times New Roman" w:hAnsi="Palatino Linotype" w:cs="Arial"/>
                <w:iCs/>
                <w:sz w:val="24"/>
                <w:szCs w:val="24"/>
                <w:lang w:val="es-PE"/>
              </w:rPr>
              <w:t>»</w:t>
            </w:r>
            <w:r w:rsidR="004F4028" w:rsidRPr="00C02759">
              <w:rPr>
                <w:rStyle w:val="Refdenotaalpie"/>
                <w:rFonts w:ascii="Palatino Linotype" w:eastAsia="Times New Roman" w:hAnsi="Palatino Linotype" w:cs="Arial"/>
                <w:iCs/>
                <w:sz w:val="24"/>
                <w:szCs w:val="24"/>
                <w:lang w:val="es-PE"/>
              </w:rPr>
              <w:footnoteReference w:id="8"/>
            </w:r>
            <w:r w:rsidR="004F4028" w:rsidRPr="00C02759">
              <w:rPr>
                <w:rFonts w:ascii="Palatino Linotype" w:eastAsia="Times New Roman" w:hAnsi="Palatino Linotype" w:cs="Arial"/>
                <w:iCs/>
                <w:sz w:val="24"/>
                <w:szCs w:val="24"/>
                <w:lang w:val="es-PE"/>
              </w:rPr>
              <w:t>.</w:t>
            </w:r>
          </w:p>
          <w:p w:rsidR="004F4028" w:rsidRPr="00C02759" w:rsidRDefault="004F4028" w:rsidP="004F4028">
            <w:pPr>
              <w:spacing w:after="0" w:line="240" w:lineRule="auto"/>
              <w:jc w:val="both"/>
              <w:rPr>
                <w:rFonts w:ascii="Palatino Linotype" w:eastAsia="Times New Roman" w:hAnsi="Palatino Linotype" w:cs="Arial"/>
                <w:iCs/>
                <w:sz w:val="24"/>
                <w:szCs w:val="24"/>
                <w:lang w:val="es-PE"/>
              </w:rPr>
            </w:pPr>
          </w:p>
          <w:p w:rsidR="00094CB9" w:rsidRPr="00C02759" w:rsidRDefault="004F4028" w:rsidP="00056DEC">
            <w:pPr>
              <w:spacing w:after="0" w:line="240" w:lineRule="auto"/>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lang w:val="es-PE"/>
              </w:rPr>
              <w:t>A</w:t>
            </w:r>
            <w:r w:rsidR="00D16E01">
              <w:rPr>
                <w:rFonts w:ascii="Palatino Linotype" w:eastAsia="Times New Roman" w:hAnsi="Palatino Linotype" w:cs="Arial"/>
                <w:iCs/>
                <w:sz w:val="24"/>
                <w:szCs w:val="24"/>
                <w:lang w:val="es-PE"/>
              </w:rPr>
              <w:t xml:space="preserve">grega </w:t>
            </w:r>
            <w:r w:rsidRPr="00C02759">
              <w:rPr>
                <w:rFonts w:ascii="Palatino Linotype" w:eastAsia="Times New Roman" w:hAnsi="Palatino Linotype" w:cs="Arial"/>
                <w:iCs/>
                <w:sz w:val="24"/>
                <w:szCs w:val="24"/>
                <w:lang w:val="es-PE"/>
              </w:rPr>
              <w:t xml:space="preserve">que dado que el </w:t>
            </w:r>
            <w:r w:rsidR="002778CB" w:rsidRPr="00C02759">
              <w:rPr>
                <w:rFonts w:ascii="Palatino Linotype" w:hAnsi="Palatino Linotype"/>
                <w:sz w:val="24"/>
                <w:szCs w:val="24"/>
                <w:lang w:val="es-PE"/>
              </w:rPr>
              <w:t>ejercici</w:t>
            </w:r>
            <w:r w:rsidRPr="00C02759">
              <w:rPr>
                <w:rFonts w:ascii="Palatino Linotype" w:hAnsi="Palatino Linotype"/>
                <w:sz w:val="24"/>
                <w:szCs w:val="24"/>
                <w:lang w:val="es-PE"/>
              </w:rPr>
              <w:t>o del derecho a la información “</w:t>
            </w:r>
            <w:r w:rsidR="002778CB" w:rsidRPr="00C02759">
              <w:rPr>
                <w:rFonts w:ascii="Palatino Linotype" w:hAnsi="Palatino Linotype"/>
                <w:sz w:val="24"/>
                <w:szCs w:val="24"/>
                <w:lang w:val="es-PE"/>
              </w:rPr>
              <w:t>entraña deberes y responsabilidades especiales</w:t>
            </w:r>
            <w:r w:rsidRPr="00C02759">
              <w:rPr>
                <w:rFonts w:ascii="Palatino Linotype" w:hAnsi="Palatino Linotype"/>
                <w:sz w:val="24"/>
                <w:szCs w:val="24"/>
                <w:lang w:val="es-PE"/>
              </w:rPr>
              <w:t xml:space="preserve">”, </w:t>
            </w:r>
            <w:r w:rsidR="002778CB" w:rsidRPr="00C02759">
              <w:rPr>
                <w:rFonts w:ascii="Palatino Linotype" w:hAnsi="Palatino Linotype"/>
                <w:sz w:val="24"/>
                <w:szCs w:val="24"/>
                <w:lang w:val="es-PE"/>
              </w:rPr>
              <w:t>está sujeto a una restricción como es la de asegurar el respeto a los derechos o a la reputación de los demás</w:t>
            </w:r>
            <w:r w:rsidRPr="00C02759">
              <w:rPr>
                <w:rFonts w:ascii="Palatino Linotype" w:hAnsi="Palatino Linotype"/>
                <w:sz w:val="24"/>
                <w:szCs w:val="24"/>
                <w:lang w:val="es-PE"/>
              </w:rPr>
              <w:t xml:space="preserve">, tarea que se resuelve mediante </w:t>
            </w:r>
            <w:r w:rsidR="005F7ACC" w:rsidRPr="00C02759">
              <w:rPr>
                <w:rFonts w:ascii="Palatino Linotype" w:eastAsia="Times New Roman" w:hAnsi="Palatino Linotype" w:cs="Times New Roman"/>
                <w:sz w:val="24"/>
                <w:szCs w:val="24"/>
                <w:lang w:val="es-PE" w:eastAsia="es-ES"/>
              </w:rPr>
              <w:t xml:space="preserve">la aplicación del test del </w:t>
            </w:r>
            <w:r w:rsidR="005F7ACC" w:rsidRPr="00C02759">
              <w:rPr>
                <w:rFonts w:ascii="Palatino Linotype" w:eastAsia="Times New Roman" w:hAnsi="Palatino Linotype" w:cs="Times New Roman"/>
                <w:i/>
                <w:sz w:val="24"/>
                <w:szCs w:val="24"/>
                <w:lang w:val="es-PE" w:eastAsia="es-ES"/>
              </w:rPr>
              <w:t>balancing</w:t>
            </w:r>
            <w:r w:rsidR="005F7ACC" w:rsidRPr="00C02759">
              <w:rPr>
                <w:rFonts w:ascii="Palatino Linotype" w:eastAsia="Times New Roman" w:hAnsi="Palatino Linotype" w:cs="Times New Roman"/>
                <w:sz w:val="24"/>
                <w:szCs w:val="24"/>
                <w:lang w:val="es-PE" w:eastAsia="es-ES"/>
              </w:rPr>
              <w:t xml:space="preserve"> o ponderación.</w:t>
            </w:r>
            <w:r w:rsidR="005F7ACC" w:rsidRPr="00C02759">
              <w:rPr>
                <w:rStyle w:val="Refdenotaalpie"/>
                <w:rFonts w:ascii="Palatino Linotype" w:eastAsia="Times New Roman" w:hAnsi="Palatino Linotype" w:cs="Times New Roman"/>
                <w:sz w:val="24"/>
                <w:szCs w:val="24"/>
                <w:lang w:val="es-PE" w:eastAsia="es-ES"/>
              </w:rPr>
              <w:footnoteReference w:id="9"/>
            </w:r>
          </w:p>
          <w:p w:rsidR="002E3990" w:rsidRPr="00C02759" w:rsidRDefault="002E3990" w:rsidP="000D65AF">
            <w:pPr>
              <w:jc w:val="both"/>
              <w:rPr>
                <w:rFonts w:ascii="Palatino Linotype" w:eastAsia="Times New Roman" w:hAnsi="Palatino Linotype" w:cs="Arial"/>
                <w:iCs/>
                <w:sz w:val="24"/>
                <w:szCs w:val="24"/>
              </w:rPr>
            </w:pPr>
          </w:p>
          <w:p w:rsidR="006D6E0C" w:rsidRPr="00C02759" w:rsidRDefault="0011178E" w:rsidP="000D65AF">
            <w:pPr>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rPr>
              <w:t xml:space="preserve">Por </w:t>
            </w:r>
            <w:r w:rsidR="00D16E01">
              <w:rPr>
                <w:rFonts w:ascii="Palatino Linotype" w:eastAsia="Times New Roman" w:hAnsi="Palatino Linotype" w:cs="Arial"/>
                <w:iCs/>
                <w:sz w:val="24"/>
                <w:szCs w:val="24"/>
              </w:rPr>
              <w:t>ello, se advierte q</w:t>
            </w:r>
            <w:bookmarkStart w:id="0" w:name="_GoBack"/>
            <w:bookmarkEnd w:id="0"/>
            <w:r w:rsidRPr="00C02759">
              <w:rPr>
                <w:rFonts w:ascii="Palatino Linotype" w:eastAsia="Times New Roman" w:hAnsi="Palatino Linotype" w:cs="Arial"/>
                <w:iCs/>
                <w:sz w:val="24"/>
                <w:szCs w:val="24"/>
              </w:rPr>
              <w:t xml:space="preserve">ue </w:t>
            </w:r>
            <w:r w:rsidR="006D6E0C" w:rsidRPr="00C02759">
              <w:rPr>
                <w:rFonts w:ascii="Palatino Linotype" w:eastAsia="Times New Roman" w:hAnsi="Palatino Linotype" w:cs="Arial"/>
                <w:iCs/>
                <w:sz w:val="24"/>
                <w:szCs w:val="24"/>
              </w:rPr>
              <w:t xml:space="preserve">pese a que </w:t>
            </w:r>
            <w:r w:rsidRPr="00C02759">
              <w:rPr>
                <w:rFonts w:ascii="Palatino Linotype" w:eastAsia="Times New Roman" w:hAnsi="Palatino Linotype" w:cs="Arial"/>
                <w:iCs/>
                <w:sz w:val="24"/>
                <w:szCs w:val="24"/>
              </w:rPr>
              <w:t xml:space="preserve">la </w:t>
            </w:r>
            <w:r w:rsidR="002E3990" w:rsidRPr="00C02759">
              <w:rPr>
                <w:rFonts w:ascii="Palatino Linotype" w:eastAsia="Times New Roman" w:hAnsi="Palatino Linotype" w:cs="Arial"/>
                <w:iCs/>
                <w:sz w:val="24"/>
                <w:szCs w:val="24"/>
              </w:rPr>
              <w:t xml:space="preserve">llamada </w:t>
            </w:r>
            <w:r w:rsidRPr="00C02759">
              <w:rPr>
                <w:rFonts w:ascii="Palatino Linotype" w:eastAsia="Times New Roman" w:hAnsi="Palatino Linotype" w:cs="Arial"/>
                <w:iCs/>
                <w:sz w:val="24"/>
                <w:szCs w:val="24"/>
              </w:rPr>
              <w:t>“prueba del daño”</w:t>
            </w:r>
            <w:r w:rsidR="00B50837" w:rsidRPr="00C02759">
              <w:rPr>
                <w:rFonts w:ascii="Palatino Linotype" w:eastAsia="Times New Roman" w:hAnsi="Palatino Linotype" w:cs="Arial"/>
                <w:iCs/>
                <w:sz w:val="24"/>
                <w:szCs w:val="24"/>
              </w:rPr>
              <w:t xml:space="preserve">no es un concepto mencionado expresamente a </w:t>
            </w:r>
            <w:r w:rsidR="002E3990" w:rsidRPr="00C02759">
              <w:rPr>
                <w:rFonts w:ascii="Palatino Linotype" w:eastAsia="Times New Roman" w:hAnsi="Palatino Linotype" w:cs="Arial"/>
                <w:iCs/>
                <w:sz w:val="24"/>
                <w:szCs w:val="24"/>
              </w:rPr>
              <w:t xml:space="preserve">nivel legal ni jurisprudencial, </w:t>
            </w:r>
            <w:r w:rsidR="00B50837" w:rsidRPr="00C02759">
              <w:rPr>
                <w:rFonts w:ascii="Palatino Linotype" w:eastAsia="Times New Roman" w:hAnsi="Palatino Linotype" w:cs="Arial"/>
                <w:iCs/>
                <w:sz w:val="24"/>
                <w:szCs w:val="24"/>
              </w:rPr>
              <w:t xml:space="preserve">sí </w:t>
            </w:r>
            <w:r w:rsidR="006D6E0C" w:rsidRPr="00C02759">
              <w:rPr>
                <w:rFonts w:ascii="Palatino Linotype" w:eastAsia="Times New Roman" w:hAnsi="Palatino Linotype" w:cs="Arial"/>
                <w:iCs/>
                <w:sz w:val="24"/>
                <w:szCs w:val="24"/>
              </w:rPr>
              <w:t>es parte o paso obligatorio para denegar el acceso a la información pública para justificar adecuadamente la negativa al acceso a la información.</w:t>
            </w:r>
          </w:p>
          <w:p w:rsidR="006D6E0C" w:rsidRPr="00C02759" w:rsidRDefault="006D6E0C" w:rsidP="000D65AF">
            <w:pPr>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rPr>
              <w:t>Finalmente, cabe señalar que a la fecha son pocas las sentencias del Tribunal Constitucional que desarrollan el tema.</w:t>
            </w:r>
          </w:p>
          <w:p w:rsidR="00D62E46" w:rsidRPr="00C02759" w:rsidRDefault="00D62E46" w:rsidP="00D62E46">
            <w:pPr>
              <w:jc w:val="both"/>
              <w:rPr>
                <w:rFonts w:ascii="Palatino Linotype" w:eastAsia="Times New Roman" w:hAnsi="Palatino Linotype" w:cs="Arial"/>
                <w:iCs/>
                <w:sz w:val="24"/>
                <w:szCs w:val="24"/>
              </w:rPr>
            </w:pPr>
          </w:p>
          <w:p w:rsidR="00D62E46" w:rsidRPr="00C02759" w:rsidRDefault="00D62E46" w:rsidP="00133E46">
            <w:pPr>
              <w:jc w:val="both"/>
              <w:rPr>
                <w:rFonts w:ascii="Palatino Linotype" w:eastAsia="Times New Roman" w:hAnsi="Palatino Linotype" w:cs="Arial"/>
                <w:iCs/>
                <w:sz w:val="24"/>
                <w:szCs w:val="24"/>
              </w:rPr>
            </w:pPr>
          </w:p>
          <w:p w:rsidR="004960CD" w:rsidRPr="00C02759" w:rsidRDefault="004960CD" w:rsidP="00133E46">
            <w:pPr>
              <w:jc w:val="both"/>
              <w:rPr>
                <w:rFonts w:ascii="Palatino Linotype" w:eastAsia="Times New Roman" w:hAnsi="Palatino Linotype" w:cs="Arial"/>
                <w:iCs/>
                <w:sz w:val="24"/>
                <w:szCs w:val="24"/>
              </w:rPr>
            </w:pPr>
          </w:p>
          <w:p w:rsidR="004960CD" w:rsidRPr="00C02759" w:rsidRDefault="004960CD" w:rsidP="00133E46">
            <w:pPr>
              <w:jc w:val="both"/>
              <w:rPr>
                <w:rFonts w:ascii="Palatino Linotype" w:eastAsia="Times New Roman" w:hAnsi="Palatino Linotype" w:cs="Arial"/>
                <w:iCs/>
                <w:sz w:val="24"/>
                <w:szCs w:val="24"/>
                <w:lang w:val="es-MX"/>
              </w:rPr>
            </w:pPr>
          </w:p>
          <w:p w:rsidR="00985697" w:rsidRPr="00C02759" w:rsidRDefault="00985697" w:rsidP="00985697">
            <w:pPr>
              <w:rPr>
                <w:rFonts w:ascii="Palatino Linotype" w:hAnsi="Palatino Linotype" w:cs="Arial"/>
                <w:sz w:val="24"/>
                <w:szCs w:val="24"/>
              </w:rPr>
            </w:pPr>
          </w:p>
          <w:p w:rsidR="00985697" w:rsidRPr="00C02759" w:rsidRDefault="00985697" w:rsidP="00985697">
            <w:pPr>
              <w:rPr>
                <w:rFonts w:ascii="Palatino Linotype" w:hAnsi="Palatino Linotype"/>
                <w:sz w:val="24"/>
                <w:szCs w:val="24"/>
              </w:rPr>
            </w:pPr>
          </w:p>
          <w:p w:rsidR="00522F6E" w:rsidRPr="00C02759" w:rsidRDefault="00522F6E" w:rsidP="00985697">
            <w:pPr>
              <w:rPr>
                <w:rFonts w:ascii="Palatino Linotype" w:eastAsia="Times New Roman" w:hAnsi="Palatino Linotype" w:cs="Arial"/>
                <w:iCs/>
                <w:sz w:val="24"/>
                <w:szCs w:val="24"/>
              </w:rPr>
            </w:pPr>
          </w:p>
        </w:tc>
      </w:tr>
      <w:tr w:rsidR="00522F6E" w:rsidRPr="00C02759" w:rsidTr="00882082">
        <w:tc>
          <w:tcPr>
            <w:tcW w:w="2093" w:type="dxa"/>
            <w:shd w:val="clear" w:color="auto" w:fill="auto"/>
          </w:tcPr>
          <w:p w:rsidR="0033112F" w:rsidRPr="00C02759" w:rsidRDefault="0033112F" w:rsidP="0033112F">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lastRenderedPageBreak/>
              <w:t xml:space="preserve">Áreas de oportunidad </w:t>
            </w:r>
          </w:p>
          <w:p w:rsidR="00522F6E" w:rsidRPr="00C02759" w:rsidRDefault="00882082" w:rsidP="0033112F">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sz w:val="24"/>
                <w:szCs w:val="24"/>
                <w:lang w:val="es-MX"/>
              </w:rPr>
              <w:t>(</w:t>
            </w:r>
            <w:r w:rsidR="0033112F" w:rsidRPr="00C02759">
              <w:rPr>
                <w:rFonts w:ascii="Palatino Linotype" w:eastAsia="Calibri" w:hAnsi="Palatino Linotype" w:cs="Times New Roman"/>
                <w:sz w:val="24"/>
                <w:szCs w:val="24"/>
                <w:lang w:val="es-MX"/>
              </w:rPr>
              <w:t>¿Qué</w:t>
            </w:r>
            <w:r w:rsidRPr="00C02759">
              <w:rPr>
                <w:rFonts w:ascii="Palatino Linotype" w:eastAsia="Calibri" w:hAnsi="Palatino Linotype" w:cs="Times New Roman"/>
                <w:sz w:val="24"/>
                <w:szCs w:val="24"/>
                <w:lang w:val="es-MX"/>
              </w:rPr>
              <w:t xml:space="preserve"> hace falta para mejorar el derecho de acceso en el tema a discusión</w:t>
            </w:r>
            <w:r w:rsidR="0033112F" w:rsidRPr="00C02759">
              <w:rPr>
                <w:rFonts w:ascii="Palatino Linotype" w:eastAsia="Calibri" w:hAnsi="Palatino Linotype" w:cs="Times New Roman"/>
                <w:sz w:val="24"/>
                <w:szCs w:val="24"/>
                <w:lang w:val="es-MX"/>
              </w:rPr>
              <w:t>? – Nuevos Retos)</w:t>
            </w:r>
          </w:p>
        </w:tc>
        <w:tc>
          <w:tcPr>
            <w:tcW w:w="6885" w:type="dxa"/>
            <w:shd w:val="clear" w:color="auto" w:fill="auto"/>
          </w:tcPr>
          <w:p w:rsidR="00BB30FC" w:rsidRPr="00C02759" w:rsidRDefault="00BB30FC" w:rsidP="00BB30FC">
            <w:pPr>
              <w:spacing w:after="0" w:line="240" w:lineRule="auto"/>
              <w:jc w:val="both"/>
              <w:rPr>
                <w:rFonts w:ascii="Palatino Linotype" w:eastAsia="Times New Roman" w:hAnsi="Palatino Linotype" w:cs="Arial"/>
                <w:iCs/>
                <w:sz w:val="24"/>
                <w:szCs w:val="24"/>
                <w:lang w:val="es-PE"/>
              </w:rPr>
            </w:pPr>
            <w:r w:rsidRPr="00C02759">
              <w:rPr>
                <w:rFonts w:ascii="Palatino Linotype" w:eastAsia="Times New Roman" w:hAnsi="Palatino Linotype" w:cs="Arial"/>
                <w:iCs/>
                <w:sz w:val="24"/>
                <w:szCs w:val="24"/>
                <w:lang w:val="es-PE"/>
              </w:rPr>
              <w:t xml:space="preserve">Dado que la “prueba del daño” sí es un requisito para negar el acceso a la información, </w:t>
            </w:r>
            <w:r w:rsidR="00FE2007" w:rsidRPr="00C02759">
              <w:rPr>
                <w:rFonts w:ascii="Palatino Linotype" w:eastAsia="Times New Roman" w:hAnsi="Palatino Linotype" w:cs="Arial"/>
                <w:iCs/>
                <w:sz w:val="24"/>
                <w:szCs w:val="24"/>
                <w:lang w:val="es-PE"/>
              </w:rPr>
              <w:t>el reto es di</w:t>
            </w:r>
            <w:r w:rsidRPr="00C02759">
              <w:rPr>
                <w:rFonts w:ascii="Palatino Linotype" w:eastAsia="Times New Roman" w:hAnsi="Palatino Linotype" w:cs="Arial"/>
                <w:iCs/>
                <w:sz w:val="24"/>
                <w:szCs w:val="24"/>
                <w:lang w:val="es-PE"/>
              </w:rPr>
              <w:t>fundir esta obligación y contar con un sistema de sanción por su incumplimiento. En ese sentido, hace falta lo siguiente:</w:t>
            </w:r>
          </w:p>
          <w:p w:rsidR="00BB30FC" w:rsidRPr="00C02759" w:rsidRDefault="00BB30FC" w:rsidP="00BB30FC">
            <w:pPr>
              <w:spacing w:after="0" w:line="240" w:lineRule="auto"/>
              <w:jc w:val="both"/>
              <w:rPr>
                <w:rFonts w:ascii="Palatino Linotype" w:eastAsia="Times New Roman" w:hAnsi="Palatino Linotype" w:cs="Arial"/>
                <w:iCs/>
                <w:sz w:val="24"/>
                <w:szCs w:val="24"/>
                <w:lang w:val="es-PE"/>
              </w:rPr>
            </w:pPr>
          </w:p>
          <w:p w:rsidR="003A0D23" w:rsidRPr="00C02759" w:rsidRDefault="00BA4E01" w:rsidP="00CA6703">
            <w:pPr>
              <w:pStyle w:val="Prrafodelista"/>
              <w:numPr>
                <w:ilvl w:val="0"/>
                <w:numId w:val="7"/>
              </w:numPr>
              <w:spacing w:after="0" w:line="240" w:lineRule="auto"/>
              <w:ind w:left="317" w:hanging="283"/>
              <w:jc w:val="both"/>
              <w:rPr>
                <w:rFonts w:ascii="Palatino Linotype" w:eastAsia="Times New Roman" w:hAnsi="Palatino Linotype" w:cs="Arial"/>
                <w:iCs/>
                <w:sz w:val="24"/>
                <w:szCs w:val="24"/>
                <w:lang w:val="es-PE"/>
              </w:rPr>
            </w:pPr>
            <w:r w:rsidRPr="00C02759">
              <w:rPr>
                <w:rFonts w:ascii="Palatino Linotype" w:eastAsia="Times New Roman" w:hAnsi="Palatino Linotype" w:cs="Arial"/>
                <w:iCs/>
                <w:sz w:val="24"/>
                <w:szCs w:val="24"/>
                <w:lang w:val="es-PE"/>
              </w:rPr>
              <w:t>Mayor desarrollo y d</w:t>
            </w:r>
            <w:r w:rsidR="00CD5BF1" w:rsidRPr="00C02759">
              <w:rPr>
                <w:rFonts w:ascii="Palatino Linotype" w:eastAsia="Times New Roman" w:hAnsi="Palatino Linotype" w:cs="Arial"/>
                <w:iCs/>
                <w:sz w:val="24"/>
                <w:szCs w:val="24"/>
                <w:lang w:val="es-PE"/>
              </w:rPr>
              <w:t>ifusión d</w:t>
            </w:r>
            <w:r w:rsidR="003A0D23" w:rsidRPr="00C02759">
              <w:rPr>
                <w:rFonts w:ascii="Palatino Linotype" w:eastAsia="Times New Roman" w:hAnsi="Palatino Linotype" w:cs="Arial"/>
                <w:iCs/>
                <w:sz w:val="24"/>
                <w:szCs w:val="24"/>
                <w:lang w:val="es-PE"/>
              </w:rPr>
              <w:t xml:space="preserve">e </w:t>
            </w:r>
            <w:r w:rsidR="00CD5BF1" w:rsidRPr="00C02759">
              <w:rPr>
                <w:rFonts w:ascii="Palatino Linotype" w:eastAsia="Times New Roman" w:hAnsi="Palatino Linotype" w:cs="Arial"/>
                <w:iCs/>
                <w:sz w:val="24"/>
                <w:szCs w:val="24"/>
                <w:lang w:val="es-PE"/>
              </w:rPr>
              <w:t xml:space="preserve">los </w:t>
            </w:r>
            <w:r w:rsidR="003A0D23" w:rsidRPr="00C02759">
              <w:rPr>
                <w:rFonts w:ascii="Palatino Linotype" w:eastAsia="Times New Roman" w:hAnsi="Palatino Linotype" w:cs="Arial"/>
                <w:iCs/>
                <w:sz w:val="24"/>
                <w:szCs w:val="24"/>
                <w:lang w:val="es-PE"/>
              </w:rPr>
              <w:t xml:space="preserve">criterios </w:t>
            </w:r>
            <w:r w:rsidR="00CD5BF1" w:rsidRPr="00C02759">
              <w:rPr>
                <w:rFonts w:ascii="Palatino Linotype" w:eastAsia="Times New Roman" w:hAnsi="Palatino Linotype" w:cs="Arial"/>
                <w:iCs/>
                <w:sz w:val="24"/>
                <w:szCs w:val="24"/>
                <w:lang w:val="es-PE"/>
              </w:rPr>
              <w:t>para justificar adecuadamente la negativa de acceso a la informació</w:t>
            </w:r>
            <w:r w:rsidR="000D4608" w:rsidRPr="00C02759">
              <w:rPr>
                <w:rFonts w:ascii="Palatino Linotype" w:eastAsia="Times New Roman" w:hAnsi="Palatino Linotype" w:cs="Arial"/>
                <w:iCs/>
                <w:sz w:val="24"/>
                <w:szCs w:val="24"/>
                <w:lang w:val="es-PE"/>
              </w:rPr>
              <w:t>n pública, con especial énfasis en la “prueba del daño”.</w:t>
            </w:r>
          </w:p>
          <w:p w:rsidR="00CD5BF1" w:rsidRPr="00C02759" w:rsidRDefault="003A0D23" w:rsidP="00CA6703">
            <w:pPr>
              <w:pStyle w:val="Prrafodelista"/>
              <w:numPr>
                <w:ilvl w:val="0"/>
                <w:numId w:val="7"/>
              </w:numPr>
              <w:spacing w:after="0" w:line="240" w:lineRule="auto"/>
              <w:ind w:left="317" w:hanging="283"/>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lang w:val="es-PE"/>
              </w:rPr>
              <w:t>Creación de una autoridad garante de</w:t>
            </w:r>
            <w:r w:rsidR="00CA6703" w:rsidRPr="00C02759">
              <w:rPr>
                <w:rFonts w:ascii="Palatino Linotype" w:eastAsia="Times New Roman" w:hAnsi="Palatino Linotype" w:cs="Arial"/>
                <w:iCs/>
                <w:sz w:val="24"/>
                <w:szCs w:val="24"/>
                <w:lang w:val="es-PE"/>
              </w:rPr>
              <w:t>l derecho</w:t>
            </w:r>
            <w:r w:rsidRPr="00C02759">
              <w:rPr>
                <w:rFonts w:ascii="Palatino Linotype" w:eastAsia="Times New Roman" w:hAnsi="Palatino Linotype" w:cs="Arial"/>
                <w:iCs/>
                <w:sz w:val="24"/>
                <w:szCs w:val="24"/>
                <w:lang w:val="es-PE"/>
              </w:rPr>
              <w:t xml:space="preserve"> acceso a la información pública</w:t>
            </w:r>
            <w:r w:rsidR="00CD5BF1" w:rsidRPr="00C02759">
              <w:rPr>
                <w:rFonts w:ascii="Palatino Linotype" w:eastAsia="Times New Roman" w:hAnsi="Palatino Linotype" w:cs="Arial"/>
                <w:iCs/>
                <w:sz w:val="24"/>
                <w:szCs w:val="24"/>
                <w:lang w:val="es-PE"/>
              </w:rPr>
              <w:t>.</w:t>
            </w:r>
          </w:p>
          <w:p w:rsidR="00522F6E" w:rsidRPr="00C02759" w:rsidRDefault="00CD5BF1" w:rsidP="00CA6703">
            <w:pPr>
              <w:pStyle w:val="Prrafodelista"/>
              <w:numPr>
                <w:ilvl w:val="0"/>
                <w:numId w:val="7"/>
              </w:numPr>
              <w:spacing w:after="0" w:line="240" w:lineRule="auto"/>
              <w:ind w:left="317" w:hanging="283"/>
              <w:jc w:val="both"/>
              <w:rPr>
                <w:rFonts w:ascii="Palatino Linotype" w:eastAsia="Times New Roman" w:hAnsi="Palatino Linotype" w:cs="Arial"/>
                <w:iCs/>
                <w:sz w:val="24"/>
                <w:szCs w:val="24"/>
              </w:rPr>
            </w:pPr>
            <w:r w:rsidRPr="00C02759">
              <w:rPr>
                <w:rFonts w:ascii="Palatino Linotype" w:eastAsia="Times New Roman" w:hAnsi="Palatino Linotype" w:cs="Arial"/>
                <w:iCs/>
                <w:sz w:val="24"/>
                <w:szCs w:val="24"/>
                <w:lang w:val="es-PE"/>
              </w:rPr>
              <w:t>Reforma del régimen sancionador por el incumplimiento de las normas de acceso a la información pública.</w:t>
            </w:r>
          </w:p>
        </w:tc>
      </w:tr>
      <w:tr w:rsidR="00522F6E" w:rsidRPr="00C02759" w:rsidTr="00882082">
        <w:tc>
          <w:tcPr>
            <w:tcW w:w="2093" w:type="dxa"/>
            <w:shd w:val="clear" w:color="auto" w:fill="auto"/>
          </w:tcPr>
          <w:p w:rsidR="00522F6E" w:rsidRPr="00C02759" w:rsidRDefault="00882082"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t>Precedentes o criterios</w:t>
            </w:r>
          </w:p>
          <w:p w:rsidR="00882082" w:rsidRPr="00C02759" w:rsidRDefault="00882082" w:rsidP="00882082">
            <w:pPr>
              <w:spacing w:after="0" w:line="240" w:lineRule="auto"/>
              <w:jc w:val="center"/>
              <w:rPr>
                <w:rFonts w:ascii="Palatino Linotype" w:eastAsia="Calibri" w:hAnsi="Palatino Linotype" w:cs="Times New Roman"/>
                <w:sz w:val="24"/>
                <w:szCs w:val="24"/>
                <w:lang w:val="es-MX"/>
              </w:rPr>
            </w:pPr>
            <w:r w:rsidRPr="00C02759">
              <w:rPr>
                <w:rFonts w:ascii="Palatino Linotype" w:eastAsia="Calibri" w:hAnsi="Palatino Linotype" w:cs="Times New Roman"/>
                <w:sz w:val="24"/>
                <w:szCs w:val="24"/>
                <w:lang w:val="es-MX"/>
              </w:rPr>
              <w:t>(Cómo se ha resuelto el tema en su país)</w:t>
            </w:r>
          </w:p>
        </w:tc>
        <w:tc>
          <w:tcPr>
            <w:tcW w:w="6885" w:type="dxa"/>
            <w:shd w:val="clear" w:color="auto" w:fill="auto"/>
          </w:tcPr>
          <w:p w:rsidR="00522F6E" w:rsidRPr="00C02759" w:rsidRDefault="000A6A96" w:rsidP="000A6A96">
            <w:pPr>
              <w:spacing w:after="0" w:line="240" w:lineRule="auto"/>
              <w:jc w:val="both"/>
              <w:rPr>
                <w:rFonts w:ascii="Palatino Linotype" w:hAnsi="Palatino Linotype"/>
                <w:sz w:val="24"/>
                <w:szCs w:val="24"/>
              </w:rPr>
            </w:pPr>
            <w:r w:rsidRPr="00C02759">
              <w:rPr>
                <w:rFonts w:ascii="Palatino Linotype" w:eastAsia="Times New Roman" w:hAnsi="Palatino Linotype" w:cs="Arial"/>
                <w:iCs/>
                <w:sz w:val="24"/>
                <w:szCs w:val="24"/>
              </w:rPr>
              <w:t xml:space="preserve">El Tribunal Constitucional del Perú, </w:t>
            </w:r>
            <w:r w:rsidRPr="00C02759">
              <w:rPr>
                <w:rFonts w:ascii="Palatino Linotype" w:hAnsi="Palatino Linotype"/>
                <w:sz w:val="24"/>
                <w:szCs w:val="24"/>
              </w:rPr>
              <w:t xml:space="preserve">órgano supremo de interpretación y control de la constitucionalidad del Perú, ha emitido </w:t>
            </w:r>
            <w:r w:rsidR="00134E30" w:rsidRPr="00C02759">
              <w:rPr>
                <w:rFonts w:ascii="Palatino Linotype" w:hAnsi="Palatino Linotype"/>
                <w:sz w:val="24"/>
                <w:szCs w:val="24"/>
              </w:rPr>
              <w:t>diversa jurisprudencia sobre la justificación de la negativa, como por ejemplo</w:t>
            </w:r>
            <w:r w:rsidRPr="00C02759">
              <w:rPr>
                <w:rFonts w:ascii="Palatino Linotype" w:hAnsi="Palatino Linotype"/>
                <w:sz w:val="24"/>
                <w:szCs w:val="24"/>
              </w:rPr>
              <w:t>:</w:t>
            </w:r>
          </w:p>
          <w:p w:rsidR="000A6A96" w:rsidRPr="00C02759" w:rsidRDefault="000A6A96" w:rsidP="000A6A96">
            <w:pPr>
              <w:spacing w:after="0" w:line="240" w:lineRule="auto"/>
              <w:jc w:val="both"/>
              <w:rPr>
                <w:rFonts w:ascii="Palatino Linotype" w:hAnsi="Palatino Linotype"/>
                <w:sz w:val="24"/>
                <w:szCs w:val="24"/>
              </w:rPr>
            </w:pPr>
          </w:p>
          <w:p w:rsidR="000A6A96" w:rsidRPr="00C02759" w:rsidRDefault="000A6A96" w:rsidP="000A6A96">
            <w:pPr>
              <w:pStyle w:val="Textonotapie"/>
              <w:numPr>
                <w:ilvl w:val="0"/>
                <w:numId w:val="10"/>
              </w:numPr>
              <w:jc w:val="both"/>
              <w:rPr>
                <w:rFonts w:ascii="Palatino Linotype" w:hAnsi="Palatino Linotype" w:cs="Arial"/>
                <w:sz w:val="24"/>
                <w:szCs w:val="24"/>
              </w:rPr>
            </w:pPr>
            <w:r w:rsidRPr="00C02759">
              <w:rPr>
                <w:rFonts w:ascii="Palatino Linotype" w:hAnsi="Palatino Linotype" w:cs="Arial"/>
                <w:sz w:val="24"/>
                <w:szCs w:val="24"/>
              </w:rPr>
              <w:t>Expediente Nº 950-00-HD/TC</w:t>
            </w:r>
          </w:p>
          <w:p w:rsidR="000A6A96" w:rsidRPr="00C02759" w:rsidRDefault="000A6A96" w:rsidP="000A6A96">
            <w:pPr>
              <w:pStyle w:val="Textonotapie"/>
              <w:numPr>
                <w:ilvl w:val="0"/>
                <w:numId w:val="10"/>
              </w:numPr>
              <w:jc w:val="both"/>
              <w:rPr>
                <w:rFonts w:ascii="Palatino Linotype" w:hAnsi="Palatino Linotype" w:cs="Arial"/>
                <w:sz w:val="24"/>
                <w:szCs w:val="24"/>
              </w:rPr>
            </w:pPr>
            <w:r w:rsidRPr="00C02759">
              <w:rPr>
                <w:rFonts w:ascii="Palatino Linotype" w:hAnsi="Palatino Linotype" w:cs="Arial"/>
                <w:sz w:val="24"/>
                <w:szCs w:val="24"/>
              </w:rPr>
              <w:t xml:space="preserve">Expediente Nº </w:t>
            </w:r>
            <w:r w:rsidRPr="00C02759">
              <w:rPr>
                <w:rFonts w:ascii="Palatino Linotype" w:hAnsi="Palatino Linotype" w:cs="Arial"/>
                <w:bCs/>
                <w:sz w:val="24"/>
                <w:szCs w:val="24"/>
                <w:lang w:val="es-PE"/>
              </w:rPr>
              <w:t>5173-2011-PHD/TC</w:t>
            </w:r>
          </w:p>
          <w:p w:rsidR="000A6A96" w:rsidRPr="00C02759" w:rsidRDefault="000A6A96" w:rsidP="000A6A96">
            <w:pPr>
              <w:pStyle w:val="Prrafodelista"/>
              <w:numPr>
                <w:ilvl w:val="0"/>
                <w:numId w:val="10"/>
              </w:numPr>
              <w:spacing w:after="0" w:line="240" w:lineRule="auto"/>
              <w:jc w:val="both"/>
              <w:rPr>
                <w:rFonts w:ascii="Palatino Linotype" w:hAnsi="Palatino Linotype"/>
                <w:sz w:val="24"/>
                <w:szCs w:val="24"/>
              </w:rPr>
            </w:pPr>
            <w:r w:rsidRPr="00C02759">
              <w:rPr>
                <w:rFonts w:ascii="Palatino Linotype" w:hAnsi="Palatino Linotype" w:cs="Arial"/>
                <w:sz w:val="24"/>
                <w:szCs w:val="24"/>
              </w:rPr>
              <w:t xml:space="preserve">Expediente </w:t>
            </w:r>
            <w:r w:rsidRPr="00C02759">
              <w:rPr>
                <w:rFonts w:ascii="Palatino Linotype" w:hAnsi="Palatino Linotype"/>
                <w:sz w:val="24"/>
                <w:szCs w:val="24"/>
              </w:rPr>
              <w:t>N</w:t>
            </w:r>
            <w:r w:rsidRPr="00C02759">
              <w:rPr>
                <w:rFonts w:ascii="Palatino Linotype" w:hAnsi="Palatino Linotype" w:cs="Arial"/>
                <w:sz w:val="24"/>
                <w:szCs w:val="24"/>
              </w:rPr>
              <w:t>º</w:t>
            </w:r>
            <w:r w:rsidRPr="00C02759">
              <w:rPr>
                <w:rFonts w:ascii="Palatino Linotype" w:hAnsi="Palatino Linotype"/>
                <w:sz w:val="24"/>
                <w:szCs w:val="24"/>
              </w:rPr>
              <w:t xml:space="preserve"> 04729-2011-PHD/TC</w:t>
            </w:r>
          </w:p>
          <w:p w:rsidR="000A6A96" w:rsidRPr="00C02759" w:rsidRDefault="000A6A96" w:rsidP="000A6A96">
            <w:pPr>
              <w:pStyle w:val="Prrafodelista"/>
              <w:numPr>
                <w:ilvl w:val="0"/>
                <w:numId w:val="10"/>
              </w:numPr>
              <w:spacing w:after="0" w:line="240" w:lineRule="auto"/>
              <w:jc w:val="both"/>
              <w:rPr>
                <w:rFonts w:ascii="Palatino Linotype" w:eastAsia="Times New Roman" w:hAnsi="Palatino Linotype" w:cs="Arial"/>
                <w:iCs/>
                <w:sz w:val="24"/>
                <w:szCs w:val="24"/>
              </w:rPr>
            </w:pPr>
            <w:r w:rsidRPr="00C02759">
              <w:rPr>
                <w:rFonts w:ascii="Palatino Linotype" w:hAnsi="Palatino Linotype" w:cs="Arial"/>
                <w:sz w:val="24"/>
                <w:szCs w:val="24"/>
              </w:rPr>
              <w:t xml:space="preserve">Expediente </w:t>
            </w:r>
            <w:r w:rsidRPr="00C02759">
              <w:rPr>
                <w:rFonts w:ascii="Palatino Linotype" w:hAnsi="Palatino Linotype"/>
                <w:sz w:val="24"/>
                <w:szCs w:val="24"/>
              </w:rPr>
              <w:t>N</w:t>
            </w:r>
            <w:r w:rsidRPr="00C02759">
              <w:rPr>
                <w:rFonts w:ascii="Palatino Linotype" w:hAnsi="Palatino Linotype" w:cs="Arial"/>
                <w:sz w:val="24"/>
                <w:szCs w:val="24"/>
              </w:rPr>
              <w:t>º</w:t>
            </w:r>
            <w:r w:rsidRPr="00C02759">
              <w:rPr>
                <w:rFonts w:ascii="Palatino Linotype" w:hAnsi="Palatino Linotype"/>
                <w:sz w:val="24"/>
                <w:szCs w:val="24"/>
              </w:rPr>
              <w:t xml:space="preserve"> 6712-2005-HC/TC</w:t>
            </w:r>
          </w:p>
          <w:p w:rsidR="00134E30" w:rsidRPr="00C02759" w:rsidRDefault="00134E30" w:rsidP="00134E30">
            <w:pPr>
              <w:pStyle w:val="Prrafodelista"/>
              <w:numPr>
                <w:ilvl w:val="0"/>
                <w:numId w:val="10"/>
              </w:numPr>
              <w:spacing w:after="0" w:line="240" w:lineRule="auto"/>
              <w:jc w:val="both"/>
              <w:rPr>
                <w:rFonts w:ascii="Palatino Linotype" w:eastAsia="Times New Roman" w:hAnsi="Palatino Linotype" w:cs="Arial"/>
                <w:iCs/>
                <w:sz w:val="24"/>
                <w:szCs w:val="24"/>
              </w:rPr>
            </w:pPr>
            <w:r w:rsidRPr="00C02759">
              <w:rPr>
                <w:rFonts w:ascii="Palatino Linotype" w:hAnsi="Palatino Linotype" w:cs="Arial"/>
                <w:sz w:val="24"/>
                <w:szCs w:val="24"/>
              </w:rPr>
              <w:t xml:space="preserve">Expediente </w:t>
            </w:r>
            <w:r w:rsidRPr="00C02759">
              <w:rPr>
                <w:rFonts w:ascii="Palatino Linotype" w:hAnsi="Palatino Linotype"/>
                <w:sz w:val="24"/>
                <w:szCs w:val="24"/>
              </w:rPr>
              <w:t>N</w:t>
            </w:r>
            <w:r w:rsidRPr="00C02759">
              <w:rPr>
                <w:rFonts w:ascii="Palatino Linotype" w:hAnsi="Palatino Linotype" w:cs="Arial"/>
                <w:sz w:val="24"/>
                <w:szCs w:val="24"/>
              </w:rPr>
              <w:t xml:space="preserve">º </w:t>
            </w:r>
            <w:r w:rsidRPr="00C02759">
              <w:rPr>
                <w:rFonts w:ascii="Palatino Linotype" w:eastAsia="Times New Roman" w:hAnsi="Palatino Linotype" w:cs="Arial"/>
                <w:bCs/>
                <w:iCs/>
                <w:sz w:val="24"/>
                <w:szCs w:val="24"/>
                <w:lang w:val="es-ES_tradnl"/>
              </w:rPr>
              <w:t>00776-2010-PHD/TC</w:t>
            </w:r>
          </w:p>
        </w:tc>
      </w:tr>
    </w:tbl>
    <w:p w:rsidR="00522F6E" w:rsidRPr="00C02759" w:rsidRDefault="00522F6E" w:rsidP="00522F6E">
      <w:pPr>
        <w:pStyle w:val="Prrafodelista"/>
        <w:spacing w:after="0" w:line="240" w:lineRule="auto"/>
        <w:jc w:val="both"/>
        <w:rPr>
          <w:rFonts w:ascii="Palatino Linotype" w:hAnsi="Palatino Linotype"/>
          <w:b/>
          <w:sz w:val="24"/>
          <w:szCs w:val="24"/>
        </w:rPr>
      </w:pPr>
    </w:p>
    <w:p w:rsidR="004B612B" w:rsidRPr="00C02759" w:rsidRDefault="004B612B" w:rsidP="00E131FB">
      <w:pPr>
        <w:spacing w:after="0" w:line="240" w:lineRule="auto"/>
        <w:jc w:val="both"/>
        <w:rPr>
          <w:rFonts w:ascii="Palatino Linotype" w:hAnsi="Palatino Linotype"/>
          <w:sz w:val="24"/>
          <w:szCs w:val="24"/>
        </w:rPr>
      </w:pPr>
    </w:p>
    <w:p w:rsidR="00E131FB" w:rsidRPr="00C02759" w:rsidRDefault="00E131FB" w:rsidP="00E131FB">
      <w:pPr>
        <w:pStyle w:val="Prrafodelista"/>
        <w:numPr>
          <w:ilvl w:val="0"/>
          <w:numId w:val="1"/>
        </w:numPr>
        <w:spacing w:after="0" w:line="240" w:lineRule="auto"/>
        <w:jc w:val="both"/>
        <w:rPr>
          <w:rFonts w:ascii="Palatino Linotype" w:hAnsi="Palatino Linotype"/>
          <w:b/>
          <w:sz w:val="24"/>
          <w:szCs w:val="24"/>
        </w:rPr>
      </w:pPr>
      <w:r w:rsidRPr="00C02759">
        <w:rPr>
          <w:rFonts w:ascii="Palatino Linotype" w:hAnsi="Palatino Linotype"/>
          <w:b/>
          <w:sz w:val="24"/>
          <w:szCs w:val="24"/>
        </w:rPr>
        <w:t>Procedimiento para las conclusiones</w:t>
      </w:r>
      <w:r w:rsidR="0033282F" w:rsidRPr="00C02759">
        <w:rPr>
          <w:rFonts w:ascii="Palatino Linotype" w:hAnsi="Palatino Linotype"/>
          <w:b/>
          <w:sz w:val="24"/>
          <w:szCs w:val="24"/>
        </w:rPr>
        <w:t>:</w:t>
      </w:r>
    </w:p>
    <w:p w:rsidR="00882082" w:rsidRPr="00C02759" w:rsidRDefault="00882082" w:rsidP="00882082">
      <w:pPr>
        <w:spacing w:after="0" w:line="240" w:lineRule="auto"/>
        <w:jc w:val="both"/>
        <w:rPr>
          <w:rFonts w:ascii="Palatino Linotype" w:hAnsi="Palatino Linotype"/>
          <w:b/>
          <w:sz w:val="24"/>
          <w:szCs w:val="24"/>
        </w:rPr>
      </w:pPr>
    </w:p>
    <w:p w:rsidR="00882082" w:rsidRPr="00C02759" w:rsidRDefault="00882082" w:rsidP="00882082">
      <w:pPr>
        <w:spacing w:after="0" w:line="240" w:lineRule="auto"/>
        <w:jc w:val="both"/>
        <w:rPr>
          <w:rFonts w:ascii="Palatino Linotype" w:hAnsi="Palatino Linotype"/>
          <w:sz w:val="24"/>
          <w:szCs w:val="24"/>
        </w:rPr>
      </w:pPr>
      <w:r w:rsidRPr="00C02759">
        <w:rPr>
          <w:rFonts w:ascii="Palatino Linotype" w:hAnsi="Palatino Linotype"/>
          <w:sz w:val="24"/>
          <w:szCs w:val="24"/>
        </w:rPr>
        <w:t xml:space="preserve">Una vez que se tenga la información </w:t>
      </w:r>
      <w:r w:rsidR="00F617EE" w:rsidRPr="00C02759">
        <w:rPr>
          <w:rFonts w:ascii="Palatino Linotype" w:hAnsi="Palatino Linotype"/>
          <w:sz w:val="24"/>
          <w:szCs w:val="24"/>
        </w:rPr>
        <w:t xml:space="preserve">de todos los países </w:t>
      </w:r>
      <w:r w:rsidRPr="00C02759">
        <w:rPr>
          <w:rFonts w:ascii="Palatino Linotype" w:hAnsi="Palatino Linotype"/>
          <w:sz w:val="24"/>
          <w:szCs w:val="24"/>
        </w:rPr>
        <w:t>en la página</w:t>
      </w:r>
      <w:r w:rsidR="00F617EE" w:rsidRPr="00C02759">
        <w:rPr>
          <w:rFonts w:ascii="Palatino Linotype" w:hAnsi="Palatino Linotype"/>
          <w:sz w:val="24"/>
          <w:szCs w:val="24"/>
        </w:rPr>
        <w:t xml:space="preserve"> –esto es en la fecha acordada para hacerlo-</w:t>
      </w:r>
      <w:r w:rsidRPr="00C02759">
        <w:rPr>
          <w:rFonts w:ascii="Palatino Linotype" w:hAnsi="Palatino Linotype"/>
          <w:sz w:val="24"/>
          <w:szCs w:val="24"/>
        </w:rPr>
        <w:t xml:space="preserve"> cada país deberá emitir sus propias conclusiones y proponer una conclusión general para el Grupo</w:t>
      </w:r>
      <w:r w:rsidR="00F617EE" w:rsidRPr="00C02759">
        <w:rPr>
          <w:rFonts w:ascii="Palatino Linotype" w:hAnsi="Palatino Linotype"/>
          <w:sz w:val="24"/>
          <w:szCs w:val="24"/>
        </w:rPr>
        <w:t xml:space="preserve"> de Jurisprudencia RTA</w:t>
      </w:r>
      <w:r w:rsidRPr="00C02759">
        <w:rPr>
          <w:rFonts w:ascii="Palatino Linotype" w:hAnsi="Palatino Linotype"/>
          <w:sz w:val="24"/>
          <w:szCs w:val="24"/>
        </w:rPr>
        <w:t>.</w:t>
      </w:r>
    </w:p>
    <w:p w:rsidR="00882082" w:rsidRPr="00C02759" w:rsidRDefault="00882082" w:rsidP="00882082">
      <w:pPr>
        <w:spacing w:after="0" w:line="240" w:lineRule="auto"/>
        <w:jc w:val="both"/>
        <w:rPr>
          <w:rFonts w:ascii="Palatino Linotype" w:hAnsi="Palatino Linotype"/>
          <w:sz w:val="24"/>
          <w:szCs w:val="24"/>
        </w:rPr>
      </w:pPr>
    </w:p>
    <w:p w:rsidR="00882082" w:rsidRPr="00C02759" w:rsidRDefault="00882082" w:rsidP="00882082">
      <w:pPr>
        <w:spacing w:after="0" w:line="240" w:lineRule="auto"/>
        <w:jc w:val="both"/>
        <w:rPr>
          <w:rFonts w:ascii="Palatino Linotype" w:hAnsi="Palatino Linotype"/>
          <w:sz w:val="24"/>
          <w:szCs w:val="24"/>
        </w:rPr>
      </w:pPr>
      <w:r w:rsidRPr="00C02759">
        <w:rPr>
          <w:rFonts w:ascii="Palatino Linotype" w:hAnsi="Palatino Linotype"/>
          <w:sz w:val="24"/>
          <w:szCs w:val="24"/>
        </w:rPr>
        <w:t>México, al ser el grupo líder</w:t>
      </w:r>
      <w:r w:rsidR="00F617EE" w:rsidRPr="00C02759">
        <w:rPr>
          <w:rFonts w:ascii="Palatino Linotype" w:hAnsi="Palatino Linotype"/>
          <w:sz w:val="24"/>
          <w:szCs w:val="24"/>
        </w:rPr>
        <w:t>,</w:t>
      </w:r>
      <w:r w:rsidRPr="00C02759">
        <w:rPr>
          <w:rFonts w:ascii="Palatino Linotype" w:hAnsi="Palatino Linotype"/>
          <w:sz w:val="24"/>
          <w:szCs w:val="24"/>
        </w:rPr>
        <w:t xml:space="preserve"> elaborará un análisis de todas las propuestas y emitirá un criterio </w:t>
      </w:r>
      <w:r w:rsidR="00F617EE" w:rsidRPr="00C02759">
        <w:rPr>
          <w:rFonts w:ascii="Palatino Linotype" w:hAnsi="Palatino Linotype"/>
          <w:sz w:val="24"/>
          <w:szCs w:val="24"/>
        </w:rPr>
        <w:t xml:space="preserve">único </w:t>
      </w:r>
      <w:r w:rsidRPr="00C02759">
        <w:rPr>
          <w:rFonts w:ascii="Palatino Linotype" w:hAnsi="Palatino Linotype"/>
          <w:sz w:val="24"/>
          <w:szCs w:val="24"/>
        </w:rPr>
        <w:t xml:space="preserve">que previamente enviará a los países miembros para </w:t>
      </w:r>
      <w:r w:rsidR="005E04AA" w:rsidRPr="00C02759">
        <w:rPr>
          <w:rFonts w:ascii="Palatino Linotype" w:hAnsi="Palatino Linotype"/>
          <w:sz w:val="24"/>
          <w:szCs w:val="24"/>
        </w:rPr>
        <w:t>reflejar la posición que tiene el grupo en ese tema</w:t>
      </w:r>
      <w:r w:rsidRPr="00C02759">
        <w:rPr>
          <w:rFonts w:ascii="Palatino Linotype" w:hAnsi="Palatino Linotype"/>
          <w:sz w:val="24"/>
          <w:szCs w:val="24"/>
        </w:rPr>
        <w:t xml:space="preserve">. Lo anterior, con independencia de que se publicará también en la página el criterio </w:t>
      </w:r>
      <w:r w:rsidR="00F617EE" w:rsidRPr="00C02759">
        <w:rPr>
          <w:rFonts w:ascii="Palatino Linotype" w:hAnsi="Palatino Linotype"/>
          <w:sz w:val="24"/>
          <w:szCs w:val="24"/>
        </w:rPr>
        <w:t>al que haya concluido cada país en lo individual.</w:t>
      </w:r>
    </w:p>
    <w:p w:rsidR="0033282F" w:rsidRPr="00C02759" w:rsidRDefault="0033282F" w:rsidP="0033282F">
      <w:pPr>
        <w:spacing w:after="0" w:line="240" w:lineRule="auto"/>
        <w:ind w:left="360"/>
        <w:jc w:val="both"/>
        <w:rPr>
          <w:rFonts w:ascii="Palatino Linotype" w:hAnsi="Palatino Linotype"/>
          <w:b/>
          <w:sz w:val="24"/>
          <w:szCs w:val="24"/>
        </w:rPr>
      </w:pPr>
    </w:p>
    <w:p w:rsidR="0033282F" w:rsidRPr="00C02759" w:rsidRDefault="0033282F" w:rsidP="0033282F">
      <w:pPr>
        <w:spacing w:after="0" w:line="240" w:lineRule="auto"/>
        <w:ind w:left="360"/>
        <w:jc w:val="both"/>
        <w:rPr>
          <w:rFonts w:ascii="Palatino Linotype" w:hAnsi="Palatino Linotype"/>
          <w:b/>
          <w:sz w:val="24"/>
          <w:szCs w:val="24"/>
        </w:rPr>
      </w:pPr>
    </w:p>
    <w:tbl>
      <w:tblPr>
        <w:tblW w:w="8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093"/>
        <w:gridCol w:w="6885"/>
      </w:tblGrid>
      <w:tr w:rsidR="00882082" w:rsidRPr="00C02759" w:rsidTr="00882082">
        <w:tc>
          <w:tcPr>
            <w:tcW w:w="8978" w:type="dxa"/>
            <w:gridSpan w:val="2"/>
            <w:shd w:val="clear" w:color="auto" w:fill="auto"/>
          </w:tcPr>
          <w:p w:rsidR="00882082" w:rsidRPr="00C02759" w:rsidRDefault="00882082" w:rsidP="00882082">
            <w:pPr>
              <w:spacing w:after="0" w:line="240" w:lineRule="auto"/>
              <w:jc w:val="center"/>
              <w:rPr>
                <w:rFonts w:ascii="Palatino Linotype" w:eastAsia="Times New Roman" w:hAnsi="Palatino Linotype" w:cs="Arial"/>
                <w:b/>
                <w:iCs/>
                <w:sz w:val="24"/>
                <w:szCs w:val="24"/>
              </w:rPr>
            </w:pPr>
            <w:r w:rsidRPr="00C02759">
              <w:rPr>
                <w:rFonts w:ascii="Palatino Linotype" w:eastAsia="Calibri" w:hAnsi="Palatino Linotype" w:cs="Times New Roman"/>
                <w:b/>
                <w:sz w:val="24"/>
                <w:szCs w:val="24"/>
                <w:lang w:val="es-MX"/>
              </w:rPr>
              <w:lastRenderedPageBreak/>
              <w:t>“…” (Tema</w:t>
            </w:r>
            <w:r w:rsidR="005E04AA" w:rsidRPr="00C02759">
              <w:rPr>
                <w:rFonts w:ascii="Palatino Linotype" w:eastAsia="Calibri" w:hAnsi="Palatino Linotype" w:cs="Times New Roman"/>
                <w:b/>
                <w:sz w:val="24"/>
                <w:szCs w:val="24"/>
                <w:lang w:val="es-MX"/>
              </w:rPr>
              <w:t xml:space="preserve"> y subtema</w:t>
            </w:r>
            <w:r w:rsidRPr="00C02759">
              <w:rPr>
                <w:rFonts w:ascii="Palatino Linotype" w:eastAsia="Calibri" w:hAnsi="Palatino Linotype" w:cs="Times New Roman"/>
                <w:b/>
                <w:sz w:val="24"/>
                <w:szCs w:val="24"/>
                <w:lang w:val="es-MX"/>
              </w:rPr>
              <w:t>)</w:t>
            </w:r>
          </w:p>
        </w:tc>
      </w:tr>
      <w:tr w:rsidR="00882082" w:rsidRPr="00C02759" w:rsidTr="00882082">
        <w:tc>
          <w:tcPr>
            <w:tcW w:w="2093" w:type="dxa"/>
            <w:shd w:val="clear" w:color="auto" w:fill="auto"/>
          </w:tcPr>
          <w:p w:rsidR="00882082" w:rsidRPr="00C02759" w:rsidRDefault="00F617EE"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t>Conclusiones por País</w:t>
            </w:r>
          </w:p>
        </w:tc>
        <w:tc>
          <w:tcPr>
            <w:tcW w:w="6885" w:type="dxa"/>
            <w:shd w:val="clear" w:color="auto" w:fill="auto"/>
          </w:tcPr>
          <w:p w:rsidR="00882082" w:rsidRPr="00C02759" w:rsidRDefault="00882082" w:rsidP="00882082">
            <w:pPr>
              <w:spacing w:after="0" w:line="240" w:lineRule="auto"/>
              <w:jc w:val="both"/>
              <w:rPr>
                <w:rFonts w:ascii="Palatino Linotype" w:eastAsia="Times New Roman" w:hAnsi="Palatino Linotype" w:cs="Arial"/>
                <w:iCs/>
                <w:sz w:val="24"/>
                <w:szCs w:val="24"/>
              </w:rPr>
            </w:pPr>
          </w:p>
        </w:tc>
      </w:tr>
      <w:tr w:rsidR="00882082" w:rsidRPr="00C02759" w:rsidTr="00882082">
        <w:tc>
          <w:tcPr>
            <w:tcW w:w="2093" w:type="dxa"/>
            <w:shd w:val="clear" w:color="auto" w:fill="auto"/>
          </w:tcPr>
          <w:p w:rsidR="00F617EE" w:rsidRPr="00C02759" w:rsidRDefault="00F617EE" w:rsidP="00882082">
            <w:pPr>
              <w:spacing w:after="0" w:line="240" w:lineRule="auto"/>
              <w:jc w:val="center"/>
              <w:rPr>
                <w:rFonts w:ascii="Palatino Linotype" w:eastAsia="Calibri" w:hAnsi="Palatino Linotype" w:cs="Times New Roman"/>
                <w:b/>
                <w:sz w:val="24"/>
                <w:szCs w:val="24"/>
                <w:lang w:val="es-MX"/>
              </w:rPr>
            </w:pPr>
            <w:r w:rsidRPr="00C02759">
              <w:rPr>
                <w:rFonts w:ascii="Palatino Linotype" w:eastAsia="Calibri" w:hAnsi="Palatino Linotype" w:cs="Times New Roman"/>
                <w:b/>
                <w:sz w:val="24"/>
                <w:szCs w:val="24"/>
                <w:lang w:val="es-MX"/>
              </w:rPr>
              <w:t>Criterio Propuesto</w:t>
            </w:r>
          </w:p>
          <w:p w:rsidR="00882082" w:rsidRPr="00C02759" w:rsidRDefault="00F617EE" w:rsidP="00882082">
            <w:pPr>
              <w:spacing w:after="0" w:line="240" w:lineRule="auto"/>
              <w:jc w:val="center"/>
              <w:rPr>
                <w:rFonts w:ascii="Palatino Linotype" w:eastAsia="Calibri" w:hAnsi="Palatino Linotype" w:cs="Times New Roman"/>
                <w:sz w:val="24"/>
                <w:szCs w:val="24"/>
                <w:lang w:val="es-MX"/>
              </w:rPr>
            </w:pPr>
            <w:r w:rsidRPr="00C02759">
              <w:rPr>
                <w:rFonts w:ascii="Palatino Linotype" w:eastAsia="Calibri" w:hAnsi="Palatino Linotype" w:cs="Times New Roman"/>
                <w:sz w:val="24"/>
                <w:szCs w:val="24"/>
                <w:lang w:val="es-MX"/>
              </w:rPr>
              <w:t>(Conclusión para el Grupo)</w:t>
            </w:r>
          </w:p>
        </w:tc>
        <w:tc>
          <w:tcPr>
            <w:tcW w:w="6885" w:type="dxa"/>
            <w:shd w:val="clear" w:color="auto" w:fill="auto"/>
          </w:tcPr>
          <w:p w:rsidR="00882082" w:rsidRPr="00C02759" w:rsidRDefault="00882082" w:rsidP="00882082">
            <w:pPr>
              <w:autoSpaceDE w:val="0"/>
              <w:autoSpaceDN w:val="0"/>
              <w:adjustRightInd w:val="0"/>
              <w:spacing w:after="0" w:line="240" w:lineRule="auto"/>
              <w:rPr>
                <w:rFonts w:ascii="Palatino Linotype" w:eastAsia="Times New Roman" w:hAnsi="Palatino Linotype" w:cs="Arial"/>
                <w:iCs/>
                <w:sz w:val="24"/>
                <w:szCs w:val="24"/>
              </w:rPr>
            </w:pPr>
          </w:p>
        </w:tc>
      </w:tr>
    </w:tbl>
    <w:p w:rsidR="00E131FB" w:rsidRPr="00C02759" w:rsidRDefault="00E131FB" w:rsidP="00E131FB">
      <w:pPr>
        <w:spacing w:after="0" w:line="240" w:lineRule="auto"/>
        <w:jc w:val="both"/>
        <w:rPr>
          <w:rFonts w:ascii="Palatino Linotype" w:hAnsi="Palatino Linotype"/>
          <w:sz w:val="24"/>
          <w:szCs w:val="24"/>
        </w:rPr>
      </w:pPr>
    </w:p>
    <w:sectPr w:rsidR="00E131FB" w:rsidRPr="00C02759" w:rsidSect="00F617E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189" w:rsidRDefault="00026189" w:rsidP="00985697">
      <w:pPr>
        <w:spacing w:after="0" w:line="240" w:lineRule="auto"/>
      </w:pPr>
      <w:r>
        <w:separator/>
      </w:r>
    </w:p>
  </w:endnote>
  <w:endnote w:type="continuationSeparator" w:id="1">
    <w:p w:rsidR="00026189" w:rsidRDefault="00026189" w:rsidP="00985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189" w:rsidRDefault="00026189" w:rsidP="00985697">
      <w:pPr>
        <w:spacing w:after="0" w:line="240" w:lineRule="auto"/>
      </w:pPr>
      <w:r>
        <w:separator/>
      </w:r>
    </w:p>
  </w:footnote>
  <w:footnote w:type="continuationSeparator" w:id="1">
    <w:p w:rsidR="00026189" w:rsidRDefault="00026189" w:rsidP="00985697">
      <w:pPr>
        <w:spacing w:after="0" w:line="240" w:lineRule="auto"/>
      </w:pPr>
      <w:r>
        <w:continuationSeparator/>
      </w:r>
    </w:p>
  </w:footnote>
  <w:footnote w:id="2">
    <w:p w:rsidR="006D11B2" w:rsidRPr="00121798" w:rsidRDefault="006D11B2" w:rsidP="00121798">
      <w:pPr>
        <w:spacing w:after="0" w:line="240" w:lineRule="auto"/>
        <w:jc w:val="both"/>
        <w:rPr>
          <w:rFonts w:ascii="Verdana" w:hAnsi="Verdana"/>
          <w:sz w:val="16"/>
          <w:szCs w:val="16"/>
        </w:rPr>
      </w:pPr>
      <w:r w:rsidRPr="00121798">
        <w:rPr>
          <w:rStyle w:val="Refdenotaalpie"/>
          <w:rFonts w:ascii="Verdana" w:hAnsi="Verdana"/>
          <w:sz w:val="16"/>
          <w:szCs w:val="16"/>
        </w:rPr>
        <w:footnoteRef/>
      </w:r>
      <w:r w:rsidRPr="00121798">
        <w:rPr>
          <w:rFonts w:ascii="Verdana" w:hAnsi="Verdana" w:cs="Arial"/>
          <w:sz w:val="16"/>
          <w:szCs w:val="16"/>
        </w:rPr>
        <w:t xml:space="preserve">Tribunal Constitucional del Perú. Expediente Nº </w:t>
      </w:r>
      <w:r w:rsidRPr="00121798">
        <w:rPr>
          <w:rFonts w:ascii="Verdana" w:eastAsia="Times New Roman" w:hAnsi="Verdana" w:cs="Arial"/>
          <w:bCs/>
          <w:iCs/>
          <w:sz w:val="16"/>
          <w:szCs w:val="16"/>
          <w:lang w:val="es-ES_tradnl"/>
        </w:rPr>
        <w:t>4912-2008-PHD/TC, Fundamento Nº 6.</w:t>
      </w:r>
    </w:p>
  </w:footnote>
  <w:footnote w:id="3">
    <w:p w:rsidR="00121798" w:rsidRPr="00121798" w:rsidRDefault="00121798" w:rsidP="00121798">
      <w:pPr>
        <w:pStyle w:val="Textonotapie"/>
        <w:jc w:val="both"/>
        <w:rPr>
          <w:rFonts w:ascii="Verdana" w:hAnsi="Verdana"/>
          <w:sz w:val="16"/>
          <w:szCs w:val="16"/>
        </w:rPr>
      </w:pPr>
      <w:r w:rsidRPr="00121798">
        <w:rPr>
          <w:rStyle w:val="Refdenotaalpie"/>
          <w:rFonts w:ascii="Verdana" w:hAnsi="Verdana"/>
          <w:sz w:val="16"/>
          <w:szCs w:val="16"/>
        </w:rPr>
        <w:footnoteRef/>
      </w:r>
      <w:r w:rsidRPr="00121798">
        <w:rPr>
          <w:rFonts w:ascii="Verdana" w:hAnsi="Verdana"/>
          <w:sz w:val="16"/>
          <w:szCs w:val="16"/>
        </w:rPr>
        <w:t xml:space="preserve"> Informe Defensorial Nº 165: “</w:t>
      </w:r>
      <w:r w:rsidRPr="00121798">
        <w:rPr>
          <w:rFonts w:ascii="Verdana" w:hAnsi="Verdana"/>
          <w:sz w:val="16"/>
          <w:szCs w:val="16"/>
        </w:rPr>
        <w:t>Balance a diez años de vigencia</w:t>
      </w:r>
      <w:r w:rsidRPr="00121798">
        <w:rPr>
          <w:rFonts w:ascii="Verdana" w:hAnsi="Verdana"/>
          <w:sz w:val="16"/>
          <w:szCs w:val="16"/>
        </w:rPr>
        <w:t xml:space="preserve"> </w:t>
      </w:r>
      <w:r w:rsidRPr="00121798">
        <w:rPr>
          <w:rFonts w:ascii="Verdana" w:hAnsi="Verdana"/>
          <w:sz w:val="16"/>
          <w:szCs w:val="16"/>
        </w:rPr>
        <w:t>de la Ley de Transparencia y Acceso</w:t>
      </w:r>
      <w:r w:rsidRPr="00121798">
        <w:rPr>
          <w:rFonts w:ascii="Verdana" w:hAnsi="Verdana"/>
          <w:sz w:val="16"/>
          <w:szCs w:val="16"/>
        </w:rPr>
        <w:t xml:space="preserve"> a la I</w:t>
      </w:r>
      <w:r w:rsidRPr="00121798">
        <w:rPr>
          <w:rFonts w:ascii="Verdana" w:hAnsi="Verdana"/>
          <w:sz w:val="16"/>
          <w:szCs w:val="16"/>
        </w:rPr>
        <w:t>nformación Pública</w:t>
      </w:r>
      <w:r w:rsidRPr="00121798">
        <w:rPr>
          <w:rFonts w:ascii="Verdana" w:hAnsi="Verdana"/>
          <w:sz w:val="16"/>
          <w:szCs w:val="16"/>
        </w:rPr>
        <w:t xml:space="preserve"> </w:t>
      </w:r>
      <w:r w:rsidRPr="00121798">
        <w:rPr>
          <w:rFonts w:ascii="Verdana" w:hAnsi="Verdana"/>
          <w:sz w:val="16"/>
          <w:szCs w:val="16"/>
        </w:rPr>
        <w:t>2003-2013</w:t>
      </w:r>
      <w:r w:rsidRPr="00121798">
        <w:rPr>
          <w:rFonts w:ascii="Verdana" w:hAnsi="Verdana"/>
          <w:sz w:val="16"/>
          <w:szCs w:val="16"/>
        </w:rPr>
        <w:t>”.</w:t>
      </w:r>
    </w:p>
  </w:footnote>
  <w:footnote w:id="4">
    <w:p w:rsidR="000F2CBE" w:rsidRPr="00121798" w:rsidRDefault="000F2CBE" w:rsidP="00056DEC">
      <w:pPr>
        <w:spacing w:after="0" w:line="240" w:lineRule="auto"/>
        <w:jc w:val="both"/>
        <w:rPr>
          <w:rFonts w:ascii="Verdana" w:hAnsi="Verdana" w:cs="Arial"/>
          <w:sz w:val="16"/>
          <w:szCs w:val="16"/>
        </w:rPr>
      </w:pPr>
      <w:r w:rsidRPr="00121798">
        <w:rPr>
          <w:rStyle w:val="Refdenotaalpie"/>
          <w:rFonts w:ascii="Verdana" w:hAnsi="Verdana" w:cs="Arial"/>
          <w:sz w:val="16"/>
          <w:szCs w:val="16"/>
        </w:rPr>
        <w:footnoteRef/>
      </w:r>
      <w:r w:rsidRPr="00121798">
        <w:rPr>
          <w:rFonts w:ascii="Verdana" w:eastAsia="Times New Roman" w:hAnsi="Verdana" w:cs="Arial"/>
          <w:iCs/>
          <w:sz w:val="16"/>
          <w:szCs w:val="16"/>
          <w:lang w:val="es-MX"/>
        </w:rPr>
        <w:t>Ver a</w:t>
      </w:r>
      <w:r w:rsidRPr="00121798">
        <w:rPr>
          <w:rFonts w:ascii="Verdana" w:eastAsia="Times New Roman" w:hAnsi="Verdana" w:cs="Arial"/>
          <w:iCs/>
          <w:sz w:val="16"/>
          <w:szCs w:val="16"/>
        </w:rPr>
        <w:t>rt. 13º del Texto Único Ordenado de la Ley de Transparencia y Acceso a la Información Pública, Ley Nº 27806 y  l</w:t>
      </w:r>
      <w:r w:rsidRPr="00121798">
        <w:rPr>
          <w:rFonts w:ascii="Verdana" w:eastAsia="Times New Roman" w:hAnsi="Verdana" w:cs="Arial"/>
          <w:iCs/>
          <w:sz w:val="16"/>
          <w:szCs w:val="16"/>
          <w:lang w:val="es-MX"/>
        </w:rPr>
        <w:t xml:space="preserve">iteral f., art </w:t>
      </w:r>
      <w:r w:rsidRPr="00121798">
        <w:rPr>
          <w:rFonts w:ascii="Verdana" w:hAnsi="Verdana" w:cs="Arial"/>
          <w:sz w:val="16"/>
          <w:szCs w:val="16"/>
        </w:rPr>
        <w:t xml:space="preserve">5º del Reglamento de la Ley </w:t>
      </w:r>
      <w:r w:rsidRPr="00121798">
        <w:rPr>
          <w:rFonts w:ascii="Verdana" w:eastAsia="Times New Roman" w:hAnsi="Verdana" w:cs="Arial"/>
          <w:iCs/>
          <w:sz w:val="16"/>
          <w:szCs w:val="16"/>
        </w:rPr>
        <w:t>de Transparencia y Acceso a la Información Pública, Ley Nº 27806</w:t>
      </w:r>
      <w:r w:rsidR="000D65AF" w:rsidRPr="00121798">
        <w:rPr>
          <w:rFonts w:ascii="Verdana" w:eastAsia="Times New Roman" w:hAnsi="Verdana" w:cs="Arial"/>
          <w:iCs/>
          <w:sz w:val="16"/>
          <w:szCs w:val="16"/>
        </w:rPr>
        <w:t>.</w:t>
      </w:r>
    </w:p>
  </w:footnote>
  <w:footnote w:id="5">
    <w:p w:rsidR="000D65AF" w:rsidRPr="00121798" w:rsidRDefault="000D65AF" w:rsidP="00056DEC">
      <w:pPr>
        <w:pStyle w:val="Textonotapie"/>
        <w:jc w:val="both"/>
        <w:rPr>
          <w:rFonts w:ascii="Verdana" w:hAnsi="Verdana" w:cs="Arial"/>
          <w:sz w:val="16"/>
          <w:szCs w:val="16"/>
        </w:rPr>
      </w:pPr>
      <w:r w:rsidRPr="00121798">
        <w:rPr>
          <w:rStyle w:val="Refdenotaalpie"/>
          <w:rFonts w:ascii="Verdana" w:hAnsi="Verdana" w:cs="Arial"/>
          <w:sz w:val="16"/>
          <w:szCs w:val="16"/>
        </w:rPr>
        <w:footnoteRef/>
      </w:r>
      <w:r w:rsidRPr="00121798">
        <w:rPr>
          <w:rFonts w:ascii="Verdana" w:hAnsi="Verdana" w:cs="Arial"/>
          <w:sz w:val="16"/>
          <w:szCs w:val="16"/>
        </w:rPr>
        <w:t xml:space="preserve"> Tribunal Constitucional del Perú. Expediente Nº 950-00-HD</w:t>
      </w:r>
      <w:r w:rsidR="00094CB9" w:rsidRPr="00121798">
        <w:rPr>
          <w:rFonts w:ascii="Verdana" w:hAnsi="Verdana" w:cs="Arial"/>
          <w:sz w:val="16"/>
          <w:szCs w:val="16"/>
        </w:rPr>
        <w:t>/TC</w:t>
      </w:r>
      <w:r w:rsidRPr="00121798">
        <w:rPr>
          <w:rFonts w:ascii="Verdana" w:hAnsi="Verdana" w:cs="Arial"/>
          <w:sz w:val="16"/>
          <w:szCs w:val="16"/>
        </w:rPr>
        <w:t>, Fundamento Nº 6.</w:t>
      </w:r>
    </w:p>
  </w:footnote>
  <w:footnote w:id="6">
    <w:p w:rsidR="000D65AF" w:rsidRPr="00121798" w:rsidRDefault="000D65AF" w:rsidP="00056DEC">
      <w:pPr>
        <w:pStyle w:val="Textonotapie"/>
        <w:jc w:val="both"/>
        <w:rPr>
          <w:rFonts w:ascii="Verdana" w:hAnsi="Verdana" w:cs="Arial"/>
          <w:sz w:val="16"/>
          <w:szCs w:val="16"/>
        </w:rPr>
      </w:pPr>
      <w:r w:rsidRPr="00121798">
        <w:rPr>
          <w:rStyle w:val="Refdenotaalpie"/>
          <w:rFonts w:ascii="Verdana" w:hAnsi="Verdana" w:cs="Arial"/>
          <w:sz w:val="16"/>
          <w:szCs w:val="16"/>
        </w:rPr>
        <w:footnoteRef/>
      </w:r>
      <w:r w:rsidRPr="00121798">
        <w:rPr>
          <w:rFonts w:ascii="Verdana" w:hAnsi="Verdana" w:cs="Arial"/>
          <w:sz w:val="16"/>
          <w:szCs w:val="16"/>
        </w:rPr>
        <w:t xml:space="preserve"> Ibídem.</w:t>
      </w:r>
    </w:p>
  </w:footnote>
  <w:footnote w:id="7">
    <w:p w:rsidR="00094CB9" w:rsidRPr="00121798" w:rsidRDefault="00094CB9" w:rsidP="00056DEC">
      <w:pPr>
        <w:pStyle w:val="Textonotapie"/>
        <w:jc w:val="both"/>
        <w:rPr>
          <w:rFonts w:ascii="Verdana" w:hAnsi="Verdana" w:cs="Arial"/>
          <w:sz w:val="16"/>
          <w:szCs w:val="16"/>
        </w:rPr>
      </w:pPr>
      <w:r w:rsidRPr="00121798">
        <w:rPr>
          <w:rStyle w:val="Refdenotaalpie"/>
          <w:rFonts w:ascii="Verdana" w:hAnsi="Verdana" w:cs="Arial"/>
          <w:sz w:val="16"/>
          <w:szCs w:val="16"/>
        </w:rPr>
        <w:footnoteRef/>
      </w:r>
      <w:r w:rsidRPr="00121798">
        <w:rPr>
          <w:rFonts w:ascii="Verdana" w:hAnsi="Verdana" w:cs="Arial"/>
          <w:sz w:val="16"/>
          <w:szCs w:val="16"/>
        </w:rPr>
        <w:t xml:space="preserve"> Tribunal Constitucional del Perú. Expediente Nº </w:t>
      </w:r>
      <w:r w:rsidRPr="00121798">
        <w:rPr>
          <w:rFonts w:ascii="Verdana" w:hAnsi="Verdana" w:cs="Arial"/>
          <w:bCs/>
          <w:sz w:val="16"/>
          <w:szCs w:val="16"/>
          <w:lang w:val="es-PE"/>
        </w:rPr>
        <w:t>5173-2011-PHD/TC, Fundamento Nº 10</w:t>
      </w:r>
      <w:r w:rsidRPr="00121798">
        <w:rPr>
          <w:rFonts w:ascii="Verdana" w:hAnsi="Verdana" w:cs="Arial"/>
          <w:sz w:val="16"/>
          <w:szCs w:val="16"/>
          <w:lang w:val="es-PE"/>
        </w:rPr>
        <w:t>.</w:t>
      </w:r>
    </w:p>
  </w:footnote>
  <w:footnote w:id="8">
    <w:p w:rsidR="004F4028" w:rsidRPr="00121798" w:rsidRDefault="004F4028" w:rsidP="00056DEC">
      <w:pPr>
        <w:pStyle w:val="Textonotapie"/>
        <w:jc w:val="both"/>
        <w:rPr>
          <w:rFonts w:ascii="Verdana" w:hAnsi="Verdana"/>
          <w:sz w:val="16"/>
          <w:szCs w:val="16"/>
        </w:rPr>
      </w:pPr>
      <w:r w:rsidRPr="00121798">
        <w:rPr>
          <w:rStyle w:val="Refdenotaalpie"/>
          <w:rFonts w:ascii="Verdana" w:hAnsi="Verdana"/>
          <w:sz w:val="16"/>
          <w:szCs w:val="16"/>
        </w:rPr>
        <w:footnoteRef/>
      </w:r>
      <w:r w:rsidRPr="00121798">
        <w:rPr>
          <w:rFonts w:ascii="Verdana" w:hAnsi="Verdana" w:cs="Arial"/>
          <w:sz w:val="16"/>
          <w:szCs w:val="16"/>
        </w:rPr>
        <w:t xml:space="preserve">Tribunal Constitucional del Perú. Expediente </w:t>
      </w:r>
      <w:r w:rsidRPr="00121798">
        <w:rPr>
          <w:rFonts w:ascii="Verdana" w:hAnsi="Verdana"/>
          <w:sz w:val="16"/>
          <w:szCs w:val="16"/>
        </w:rPr>
        <w:t>N</w:t>
      </w:r>
      <w:r w:rsidR="00056DEC" w:rsidRPr="00121798">
        <w:rPr>
          <w:rFonts w:ascii="Verdana" w:hAnsi="Verdana" w:cs="Arial"/>
          <w:sz w:val="16"/>
          <w:szCs w:val="16"/>
        </w:rPr>
        <w:t>º</w:t>
      </w:r>
      <w:r w:rsidRPr="00121798">
        <w:rPr>
          <w:rFonts w:ascii="Verdana" w:hAnsi="Verdana"/>
          <w:sz w:val="16"/>
          <w:szCs w:val="16"/>
        </w:rPr>
        <w:t xml:space="preserve"> 04729-2011-PHD/TC, Fu</w:t>
      </w:r>
      <w:r w:rsidR="00056DEC" w:rsidRPr="00121798">
        <w:rPr>
          <w:rFonts w:ascii="Verdana" w:hAnsi="Verdana"/>
          <w:sz w:val="16"/>
          <w:szCs w:val="16"/>
        </w:rPr>
        <w:t>n</w:t>
      </w:r>
      <w:r w:rsidRPr="00121798">
        <w:rPr>
          <w:rFonts w:ascii="Verdana" w:hAnsi="Verdana"/>
          <w:sz w:val="16"/>
          <w:szCs w:val="16"/>
        </w:rPr>
        <w:t>damento Nº 15.</w:t>
      </w:r>
    </w:p>
  </w:footnote>
  <w:footnote w:id="9">
    <w:p w:rsidR="005F7ACC" w:rsidRPr="00121798" w:rsidRDefault="005F7ACC" w:rsidP="00056DEC">
      <w:pPr>
        <w:pStyle w:val="Ttulo6"/>
        <w:spacing w:before="0" w:beforeAutospacing="0" w:after="0" w:afterAutospacing="0"/>
        <w:jc w:val="both"/>
        <w:rPr>
          <w:rFonts w:ascii="Verdana" w:hAnsi="Verdana"/>
          <w:b w:val="0"/>
          <w:sz w:val="16"/>
          <w:szCs w:val="16"/>
        </w:rPr>
      </w:pPr>
      <w:r w:rsidRPr="00121798">
        <w:rPr>
          <w:rStyle w:val="Refdenotaalpie"/>
          <w:rFonts w:ascii="Verdana" w:hAnsi="Verdana"/>
          <w:b w:val="0"/>
          <w:sz w:val="16"/>
          <w:szCs w:val="16"/>
        </w:rPr>
        <w:footnoteRef/>
      </w:r>
      <w:r w:rsidRPr="00121798">
        <w:rPr>
          <w:rFonts w:ascii="Verdana" w:hAnsi="Verdana" w:cs="Arial"/>
          <w:b w:val="0"/>
          <w:sz w:val="16"/>
          <w:szCs w:val="16"/>
        </w:rPr>
        <w:t xml:space="preserve">Tribunal Constitucional del Perú. Expediente </w:t>
      </w:r>
      <w:r w:rsidRPr="00121798">
        <w:rPr>
          <w:rFonts w:ascii="Verdana" w:hAnsi="Verdana"/>
          <w:b w:val="0"/>
          <w:sz w:val="16"/>
          <w:szCs w:val="16"/>
        </w:rPr>
        <w:t>N</w:t>
      </w:r>
      <w:r w:rsidR="00056DEC" w:rsidRPr="00121798">
        <w:rPr>
          <w:rFonts w:ascii="Verdana" w:hAnsi="Verdana" w:cs="Arial"/>
          <w:b w:val="0"/>
          <w:sz w:val="16"/>
          <w:szCs w:val="16"/>
        </w:rPr>
        <w:t>º</w:t>
      </w:r>
      <w:r w:rsidRPr="00121798">
        <w:rPr>
          <w:rFonts w:ascii="Verdana" w:hAnsi="Verdana"/>
          <w:b w:val="0"/>
          <w:sz w:val="16"/>
          <w:szCs w:val="16"/>
        </w:rPr>
        <w:t xml:space="preserve"> 6712-2005-HC/TC</w:t>
      </w:r>
      <w:r w:rsidR="00995BBD" w:rsidRPr="00121798">
        <w:rPr>
          <w:rFonts w:ascii="Verdana" w:hAnsi="Verdana"/>
          <w:b w:val="0"/>
          <w:sz w:val="16"/>
          <w:szCs w:val="16"/>
        </w:rPr>
        <w:t xml:space="preserve">, </w:t>
      </w:r>
      <w:r w:rsidR="00995BBD" w:rsidRPr="00121798">
        <w:rPr>
          <w:rFonts w:ascii="Verdana" w:hAnsi="Verdana" w:cs="Arial"/>
          <w:b w:val="0"/>
          <w:bCs w:val="0"/>
          <w:sz w:val="16"/>
          <w:szCs w:val="16"/>
          <w:lang w:val="es-PE"/>
        </w:rPr>
        <w:t>Fundamento Nº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4E60"/>
    <w:multiLevelType w:val="hybridMultilevel"/>
    <w:tmpl w:val="09F68F34"/>
    <w:lvl w:ilvl="0" w:tplc="AC244B1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BEF4AF9"/>
    <w:multiLevelType w:val="hybridMultilevel"/>
    <w:tmpl w:val="D6B8E088"/>
    <w:lvl w:ilvl="0" w:tplc="69D2FDD4">
      <w:start w:val="1"/>
      <w:numFmt w:val="lowerLetter"/>
      <w:lvlText w:val="%1)"/>
      <w:lvlJc w:val="left"/>
      <w:pPr>
        <w:ind w:left="720" w:hanging="360"/>
      </w:pPr>
      <w:rPr>
        <w:rFonts w:hint="default"/>
        <w:b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E06D38"/>
    <w:multiLevelType w:val="hybridMultilevel"/>
    <w:tmpl w:val="8BEE9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8068AA"/>
    <w:multiLevelType w:val="hybridMultilevel"/>
    <w:tmpl w:val="41EC5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5A5F79"/>
    <w:multiLevelType w:val="hybridMultilevel"/>
    <w:tmpl w:val="D73A68D2"/>
    <w:lvl w:ilvl="0" w:tplc="AC244B1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2E7804"/>
    <w:multiLevelType w:val="hybridMultilevel"/>
    <w:tmpl w:val="E37A70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8"/>
  </w:num>
  <w:num w:numId="6">
    <w:abstractNumId w:val="2"/>
  </w:num>
  <w:num w:numId="7">
    <w:abstractNumId w:val="1"/>
  </w:num>
  <w:num w:numId="8">
    <w:abstractNumId w:val="10"/>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footnotePr>
    <w:footnote w:id="0"/>
    <w:footnote w:id="1"/>
  </w:footnotePr>
  <w:endnotePr>
    <w:endnote w:id="0"/>
    <w:endnote w:id="1"/>
  </w:endnotePr>
  <w:compat/>
  <w:rsids>
    <w:rsidRoot w:val="00E131FB"/>
    <w:rsid w:val="00026189"/>
    <w:rsid w:val="000478B8"/>
    <w:rsid w:val="00056DEC"/>
    <w:rsid w:val="00094CB9"/>
    <w:rsid w:val="000A6A96"/>
    <w:rsid w:val="000C4BBA"/>
    <w:rsid w:val="000D4608"/>
    <w:rsid w:val="000D65AF"/>
    <w:rsid w:val="000E2F01"/>
    <w:rsid w:val="000E7D5D"/>
    <w:rsid w:val="000F2CBE"/>
    <w:rsid w:val="0011178E"/>
    <w:rsid w:val="00121798"/>
    <w:rsid w:val="00133E46"/>
    <w:rsid w:val="00134E30"/>
    <w:rsid w:val="001821C9"/>
    <w:rsid w:val="001F1D8B"/>
    <w:rsid w:val="002778CB"/>
    <w:rsid w:val="002A26A0"/>
    <w:rsid w:val="002E3990"/>
    <w:rsid w:val="00300923"/>
    <w:rsid w:val="0031428E"/>
    <w:rsid w:val="0032422C"/>
    <w:rsid w:val="0033112F"/>
    <w:rsid w:val="0033282F"/>
    <w:rsid w:val="003575EA"/>
    <w:rsid w:val="00371B58"/>
    <w:rsid w:val="00383375"/>
    <w:rsid w:val="003908B4"/>
    <w:rsid w:val="00392C67"/>
    <w:rsid w:val="003A0D23"/>
    <w:rsid w:val="003D64C4"/>
    <w:rsid w:val="00427758"/>
    <w:rsid w:val="00455AF6"/>
    <w:rsid w:val="004633C9"/>
    <w:rsid w:val="00470085"/>
    <w:rsid w:val="00474116"/>
    <w:rsid w:val="004960CD"/>
    <w:rsid w:val="004B612B"/>
    <w:rsid w:val="004D4D0A"/>
    <w:rsid w:val="004F4028"/>
    <w:rsid w:val="00522F6E"/>
    <w:rsid w:val="005941F2"/>
    <w:rsid w:val="005E04AA"/>
    <w:rsid w:val="005F7ACC"/>
    <w:rsid w:val="006C42FD"/>
    <w:rsid w:val="006D11B2"/>
    <w:rsid w:val="006D6E0C"/>
    <w:rsid w:val="00701085"/>
    <w:rsid w:val="00701441"/>
    <w:rsid w:val="00755C5D"/>
    <w:rsid w:val="0083647C"/>
    <w:rsid w:val="00882082"/>
    <w:rsid w:val="008E056E"/>
    <w:rsid w:val="008F6174"/>
    <w:rsid w:val="009101C4"/>
    <w:rsid w:val="00970F79"/>
    <w:rsid w:val="009760E6"/>
    <w:rsid w:val="00982F40"/>
    <w:rsid w:val="00982FAE"/>
    <w:rsid w:val="00985697"/>
    <w:rsid w:val="00995BBD"/>
    <w:rsid w:val="00A801E3"/>
    <w:rsid w:val="00AA6449"/>
    <w:rsid w:val="00AA7689"/>
    <w:rsid w:val="00AC7955"/>
    <w:rsid w:val="00AE3BBD"/>
    <w:rsid w:val="00B4385D"/>
    <w:rsid w:val="00B50837"/>
    <w:rsid w:val="00B927E9"/>
    <w:rsid w:val="00BA4E01"/>
    <w:rsid w:val="00BB0264"/>
    <w:rsid w:val="00BB30FC"/>
    <w:rsid w:val="00BC5F32"/>
    <w:rsid w:val="00BE557D"/>
    <w:rsid w:val="00C02759"/>
    <w:rsid w:val="00C2773B"/>
    <w:rsid w:val="00C55220"/>
    <w:rsid w:val="00CA6703"/>
    <w:rsid w:val="00CB058C"/>
    <w:rsid w:val="00CB3B99"/>
    <w:rsid w:val="00CB694E"/>
    <w:rsid w:val="00CD3D90"/>
    <w:rsid w:val="00CD5BF1"/>
    <w:rsid w:val="00D13EED"/>
    <w:rsid w:val="00D16E01"/>
    <w:rsid w:val="00D34FE8"/>
    <w:rsid w:val="00D523D2"/>
    <w:rsid w:val="00D62E46"/>
    <w:rsid w:val="00D85C16"/>
    <w:rsid w:val="00E12BA4"/>
    <w:rsid w:val="00E131FB"/>
    <w:rsid w:val="00E136CB"/>
    <w:rsid w:val="00E23674"/>
    <w:rsid w:val="00E70B26"/>
    <w:rsid w:val="00EA0596"/>
    <w:rsid w:val="00EF6E9A"/>
    <w:rsid w:val="00F14FFC"/>
    <w:rsid w:val="00F361CE"/>
    <w:rsid w:val="00F368BA"/>
    <w:rsid w:val="00F60239"/>
    <w:rsid w:val="00F617EE"/>
    <w:rsid w:val="00F95F05"/>
    <w:rsid w:val="00FD1349"/>
    <w:rsid w:val="00FD3587"/>
    <w:rsid w:val="00FE2007"/>
    <w:rsid w:val="00FF38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0A"/>
  </w:style>
  <w:style w:type="paragraph" w:styleId="Ttulo6">
    <w:name w:val="heading 6"/>
    <w:basedOn w:val="Normal"/>
    <w:link w:val="Ttulo6Car"/>
    <w:uiPriority w:val="9"/>
    <w:qFormat/>
    <w:rsid w:val="005F7AC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paragraph" w:styleId="Textonotaalfinal">
    <w:name w:val="endnote text"/>
    <w:basedOn w:val="Normal"/>
    <w:link w:val="TextonotaalfinalCar"/>
    <w:uiPriority w:val="99"/>
    <w:semiHidden/>
    <w:unhideWhenUsed/>
    <w:rsid w:val="009856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85697"/>
    <w:rPr>
      <w:sz w:val="20"/>
      <w:szCs w:val="20"/>
    </w:rPr>
  </w:style>
  <w:style w:type="character" w:styleId="Refdenotaalfinal">
    <w:name w:val="endnote reference"/>
    <w:basedOn w:val="Fuentedeprrafopredeter"/>
    <w:uiPriority w:val="99"/>
    <w:semiHidden/>
    <w:unhideWhenUsed/>
    <w:rsid w:val="00985697"/>
    <w:rPr>
      <w:vertAlign w:val="superscript"/>
    </w:rPr>
  </w:style>
  <w:style w:type="paragraph" w:styleId="Textonotapie">
    <w:name w:val="footnote text"/>
    <w:basedOn w:val="Normal"/>
    <w:link w:val="TextonotapieCar"/>
    <w:uiPriority w:val="99"/>
    <w:semiHidden/>
    <w:unhideWhenUsed/>
    <w:rsid w:val="00D62E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2E46"/>
    <w:rPr>
      <w:sz w:val="20"/>
      <w:szCs w:val="20"/>
    </w:rPr>
  </w:style>
  <w:style w:type="character" w:styleId="Refdenotaalpie">
    <w:name w:val="footnote reference"/>
    <w:basedOn w:val="Fuentedeprrafopredeter"/>
    <w:uiPriority w:val="99"/>
    <w:semiHidden/>
    <w:unhideWhenUsed/>
    <w:rsid w:val="00D62E46"/>
    <w:rPr>
      <w:vertAlign w:val="superscript"/>
    </w:rPr>
  </w:style>
  <w:style w:type="paragraph" w:styleId="NormalWeb">
    <w:name w:val="Normal (Web)"/>
    <w:basedOn w:val="Normal"/>
    <w:uiPriority w:val="99"/>
    <w:semiHidden/>
    <w:unhideWhenUsed/>
    <w:rsid w:val="000D65A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094C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094CB9"/>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uiPriority w:val="9"/>
    <w:rsid w:val="005F7ACC"/>
    <w:rPr>
      <w:rFonts w:ascii="Times New Roman" w:eastAsia="Times New Roman" w:hAnsi="Times New Roman" w:cs="Times New Roman"/>
      <w:b/>
      <w:bCs/>
      <w:sz w:val="15"/>
      <w:szCs w:val="15"/>
      <w:lang w:eastAsia="es-ES"/>
    </w:rPr>
  </w:style>
  <w:style w:type="character" w:customStyle="1" w:styleId="highlight">
    <w:name w:val="highlight"/>
    <w:basedOn w:val="Fuentedeprrafopredeter"/>
    <w:rsid w:val="00995BBD"/>
  </w:style>
</w:styles>
</file>

<file path=word/webSettings.xml><?xml version="1.0" encoding="utf-8"?>
<w:webSettings xmlns:r="http://schemas.openxmlformats.org/officeDocument/2006/relationships" xmlns:w="http://schemas.openxmlformats.org/wordprocessingml/2006/main">
  <w:divs>
    <w:div w:id="85228340">
      <w:bodyDiv w:val="1"/>
      <w:marLeft w:val="0"/>
      <w:marRight w:val="0"/>
      <w:marTop w:val="0"/>
      <w:marBottom w:val="0"/>
      <w:divBdr>
        <w:top w:val="none" w:sz="0" w:space="0" w:color="auto"/>
        <w:left w:val="none" w:sz="0" w:space="0" w:color="auto"/>
        <w:bottom w:val="none" w:sz="0" w:space="0" w:color="auto"/>
        <w:right w:val="none" w:sz="0" w:space="0" w:color="auto"/>
      </w:divBdr>
    </w:div>
    <w:div w:id="320234901">
      <w:bodyDiv w:val="1"/>
      <w:marLeft w:val="0"/>
      <w:marRight w:val="0"/>
      <w:marTop w:val="0"/>
      <w:marBottom w:val="0"/>
      <w:divBdr>
        <w:top w:val="none" w:sz="0" w:space="0" w:color="auto"/>
        <w:left w:val="none" w:sz="0" w:space="0" w:color="auto"/>
        <w:bottom w:val="none" w:sz="0" w:space="0" w:color="auto"/>
        <w:right w:val="none" w:sz="0" w:space="0" w:color="auto"/>
      </w:divBdr>
    </w:div>
    <w:div w:id="329450947">
      <w:bodyDiv w:val="1"/>
      <w:marLeft w:val="0"/>
      <w:marRight w:val="0"/>
      <w:marTop w:val="0"/>
      <w:marBottom w:val="0"/>
      <w:divBdr>
        <w:top w:val="none" w:sz="0" w:space="0" w:color="auto"/>
        <w:left w:val="none" w:sz="0" w:space="0" w:color="auto"/>
        <w:bottom w:val="none" w:sz="0" w:space="0" w:color="auto"/>
        <w:right w:val="none" w:sz="0" w:space="0" w:color="auto"/>
      </w:divBdr>
    </w:div>
    <w:div w:id="632949483">
      <w:bodyDiv w:val="1"/>
      <w:marLeft w:val="0"/>
      <w:marRight w:val="0"/>
      <w:marTop w:val="0"/>
      <w:marBottom w:val="0"/>
      <w:divBdr>
        <w:top w:val="none" w:sz="0" w:space="0" w:color="auto"/>
        <w:left w:val="none" w:sz="0" w:space="0" w:color="auto"/>
        <w:bottom w:val="none" w:sz="0" w:space="0" w:color="auto"/>
        <w:right w:val="none" w:sz="0" w:space="0" w:color="auto"/>
      </w:divBdr>
    </w:div>
    <w:div w:id="740755255">
      <w:bodyDiv w:val="1"/>
      <w:marLeft w:val="0"/>
      <w:marRight w:val="0"/>
      <w:marTop w:val="0"/>
      <w:marBottom w:val="0"/>
      <w:divBdr>
        <w:top w:val="none" w:sz="0" w:space="0" w:color="auto"/>
        <w:left w:val="none" w:sz="0" w:space="0" w:color="auto"/>
        <w:bottom w:val="none" w:sz="0" w:space="0" w:color="auto"/>
        <w:right w:val="none" w:sz="0" w:space="0" w:color="auto"/>
      </w:divBdr>
    </w:div>
    <w:div w:id="847404536">
      <w:bodyDiv w:val="1"/>
      <w:marLeft w:val="0"/>
      <w:marRight w:val="0"/>
      <w:marTop w:val="0"/>
      <w:marBottom w:val="0"/>
      <w:divBdr>
        <w:top w:val="none" w:sz="0" w:space="0" w:color="auto"/>
        <w:left w:val="none" w:sz="0" w:space="0" w:color="auto"/>
        <w:bottom w:val="none" w:sz="0" w:space="0" w:color="auto"/>
        <w:right w:val="none" w:sz="0" w:space="0" w:color="auto"/>
      </w:divBdr>
    </w:div>
    <w:div w:id="886070375">
      <w:bodyDiv w:val="1"/>
      <w:marLeft w:val="0"/>
      <w:marRight w:val="0"/>
      <w:marTop w:val="0"/>
      <w:marBottom w:val="0"/>
      <w:divBdr>
        <w:top w:val="none" w:sz="0" w:space="0" w:color="auto"/>
        <w:left w:val="none" w:sz="0" w:space="0" w:color="auto"/>
        <w:bottom w:val="none" w:sz="0" w:space="0" w:color="auto"/>
        <w:right w:val="none" w:sz="0" w:space="0" w:color="auto"/>
      </w:divBdr>
    </w:div>
    <w:div w:id="899902654">
      <w:bodyDiv w:val="1"/>
      <w:marLeft w:val="0"/>
      <w:marRight w:val="0"/>
      <w:marTop w:val="0"/>
      <w:marBottom w:val="0"/>
      <w:divBdr>
        <w:top w:val="none" w:sz="0" w:space="0" w:color="auto"/>
        <w:left w:val="none" w:sz="0" w:space="0" w:color="auto"/>
        <w:bottom w:val="none" w:sz="0" w:space="0" w:color="auto"/>
        <w:right w:val="none" w:sz="0" w:space="0" w:color="auto"/>
      </w:divBdr>
    </w:div>
    <w:div w:id="1091510019">
      <w:bodyDiv w:val="1"/>
      <w:marLeft w:val="0"/>
      <w:marRight w:val="0"/>
      <w:marTop w:val="0"/>
      <w:marBottom w:val="0"/>
      <w:divBdr>
        <w:top w:val="none" w:sz="0" w:space="0" w:color="auto"/>
        <w:left w:val="none" w:sz="0" w:space="0" w:color="auto"/>
        <w:bottom w:val="none" w:sz="0" w:space="0" w:color="auto"/>
        <w:right w:val="none" w:sz="0" w:space="0" w:color="auto"/>
      </w:divBdr>
    </w:div>
    <w:div w:id="1175539201">
      <w:bodyDiv w:val="1"/>
      <w:marLeft w:val="0"/>
      <w:marRight w:val="0"/>
      <w:marTop w:val="0"/>
      <w:marBottom w:val="0"/>
      <w:divBdr>
        <w:top w:val="none" w:sz="0" w:space="0" w:color="auto"/>
        <w:left w:val="none" w:sz="0" w:space="0" w:color="auto"/>
        <w:bottom w:val="none" w:sz="0" w:space="0" w:color="auto"/>
        <w:right w:val="none" w:sz="0" w:space="0" w:color="auto"/>
      </w:divBdr>
    </w:div>
    <w:div w:id="1257664843">
      <w:bodyDiv w:val="1"/>
      <w:marLeft w:val="0"/>
      <w:marRight w:val="0"/>
      <w:marTop w:val="0"/>
      <w:marBottom w:val="0"/>
      <w:divBdr>
        <w:top w:val="none" w:sz="0" w:space="0" w:color="auto"/>
        <w:left w:val="none" w:sz="0" w:space="0" w:color="auto"/>
        <w:bottom w:val="none" w:sz="0" w:space="0" w:color="auto"/>
        <w:right w:val="none" w:sz="0" w:space="0" w:color="auto"/>
      </w:divBdr>
      <w:divsChild>
        <w:div w:id="1412384587">
          <w:marLeft w:val="0"/>
          <w:marRight w:val="0"/>
          <w:marTop w:val="0"/>
          <w:marBottom w:val="0"/>
          <w:divBdr>
            <w:top w:val="none" w:sz="0" w:space="0" w:color="auto"/>
            <w:left w:val="none" w:sz="0" w:space="0" w:color="auto"/>
            <w:bottom w:val="none" w:sz="0" w:space="0" w:color="auto"/>
            <w:right w:val="none" w:sz="0" w:space="0" w:color="auto"/>
          </w:divBdr>
        </w:div>
        <w:div w:id="452139054">
          <w:marLeft w:val="0"/>
          <w:marRight w:val="0"/>
          <w:marTop w:val="0"/>
          <w:marBottom w:val="0"/>
          <w:divBdr>
            <w:top w:val="none" w:sz="0" w:space="0" w:color="auto"/>
            <w:left w:val="none" w:sz="0" w:space="0" w:color="auto"/>
            <w:bottom w:val="none" w:sz="0" w:space="0" w:color="auto"/>
            <w:right w:val="none" w:sz="0" w:space="0" w:color="auto"/>
          </w:divBdr>
        </w:div>
        <w:div w:id="669672378">
          <w:marLeft w:val="0"/>
          <w:marRight w:val="0"/>
          <w:marTop w:val="0"/>
          <w:marBottom w:val="0"/>
          <w:divBdr>
            <w:top w:val="none" w:sz="0" w:space="0" w:color="auto"/>
            <w:left w:val="none" w:sz="0" w:space="0" w:color="auto"/>
            <w:bottom w:val="none" w:sz="0" w:space="0" w:color="auto"/>
            <w:right w:val="none" w:sz="0" w:space="0" w:color="auto"/>
          </w:divBdr>
        </w:div>
        <w:div w:id="2006545950">
          <w:marLeft w:val="0"/>
          <w:marRight w:val="0"/>
          <w:marTop w:val="0"/>
          <w:marBottom w:val="0"/>
          <w:divBdr>
            <w:top w:val="none" w:sz="0" w:space="0" w:color="auto"/>
            <w:left w:val="none" w:sz="0" w:space="0" w:color="auto"/>
            <w:bottom w:val="none" w:sz="0" w:space="0" w:color="auto"/>
            <w:right w:val="none" w:sz="0" w:space="0" w:color="auto"/>
          </w:divBdr>
        </w:div>
        <w:div w:id="2056544777">
          <w:marLeft w:val="0"/>
          <w:marRight w:val="0"/>
          <w:marTop w:val="0"/>
          <w:marBottom w:val="0"/>
          <w:divBdr>
            <w:top w:val="none" w:sz="0" w:space="0" w:color="auto"/>
            <w:left w:val="none" w:sz="0" w:space="0" w:color="auto"/>
            <w:bottom w:val="none" w:sz="0" w:space="0" w:color="auto"/>
            <w:right w:val="none" w:sz="0" w:space="0" w:color="auto"/>
          </w:divBdr>
        </w:div>
        <w:div w:id="120652084">
          <w:marLeft w:val="0"/>
          <w:marRight w:val="0"/>
          <w:marTop w:val="0"/>
          <w:marBottom w:val="0"/>
          <w:divBdr>
            <w:top w:val="none" w:sz="0" w:space="0" w:color="auto"/>
            <w:left w:val="none" w:sz="0" w:space="0" w:color="auto"/>
            <w:bottom w:val="none" w:sz="0" w:space="0" w:color="auto"/>
            <w:right w:val="none" w:sz="0" w:space="0" w:color="auto"/>
          </w:divBdr>
        </w:div>
        <w:div w:id="739248844">
          <w:marLeft w:val="0"/>
          <w:marRight w:val="0"/>
          <w:marTop w:val="0"/>
          <w:marBottom w:val="0"/>
          <w:divBdr>
            <w:top w:val="none" w:sz="0" w:space="0" w:color="auto"/>
            <w:left w:val="none" w:sz="0" w:space="0" w:color="auto"/>
            <w:bottom w:val="none" w:sz="0" w:space="0" w:color="auto"/>
            <w:right w:val="none" w:sz="0" w:space="0" w:color="auto"/>
          </w:divBdr>
        </w:div>
      </w:divsChild>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290798">
      <w:bodyDiv w:val="1"/>
      <w:marLeft w:val="0"/>
      <w:marRight w:val="0"/>
      <w:marTop w:val="0"/>
      <w:marBottom w:val="0"/>
      <w:divBdr>
        <w:top w:val="none" w:sz="0" w:space="0" w:color="auto"/>
        <w:left w:val="none" w:sz="0" w:space="0" w:color="auto"/>
        <w:bottom w:val="none" w:sz="0" w:space="0" w:color="auto"/>
        <w:right w:val="none" w:sz="0" w:space="0" w:color="auto"/>
      </w:divBdr>
    </w:div>
    <w:div w:id="1585409680">
      <w:bodyDiv w:val="1"/>
      <w:marLeft w:val="0"/>
      <w:marRight w:val="0"/>
      <w:marTop w:val="0"/>
      <w:marBottom w:val="0"/>
      <w:divBdr>
        <w:top w:val="none" w:sz="0" w:space="0" w:color="auto"/>
        <w:left w:val="none" w:sz="0" w:space="0" w:color="auto"/>
        <w:bottom w:val="none" w:sz="0" w:space="0" w:color="auto"/>
        <w:right w:val="none" w:sz="0" w:space="0" w:color="auto"/>
      </w:divBdr>
    </w:div>
    <w:div w:id="1790315513">
      <w:bodyDiv w:val="1"/>
      <w:marLeft w:val="0"/>
      <w:marRight w:val="0"/>
      <w:marTop w:val="0"/>
      <w:marBottom w:val="0"/>
      <w:divBdr>
        <w:top w:val="none" w:sz="0" w:space="0" w:color="auto"/>
        <w:left w:val="none" w:sz="0" w:space="0" w:color="auto"/>
        <w:bottom w:val="none" w:sz="0" w:space="0" w:color="auto"/>
        <w:right w:val="none" w:sz="0" w:space="0" w:color="auto"/>
      </w:divBdr>
    </w:div>
    <w:div w:id="1795829354">
      <w:bodyDiv w:val="1"/>
      <w:marLeft w:val="0"/>
      <w:marRight w:val="0"/>
      <w:marTop w:val="0"/>
      <w:marBottom w:val="0"/>
      <w:divBdr>
        <w:top w:val="none" w:sz="0" w:space="0" w:color="auto"/>
        <w:left w:val="none" w:sz="0" w:space="0" w:color="auto"/>
        <w:bottom w:val="none" w:sz="0" w:space="0" w:color="auto"/>
        <w:right w:val="none" w:sz="0" w:space="0" w:color="auto"/>
      </w:divBdr>
    </w:div>
    <w:div w:id="1921672190">
      <w:bodyDiv w:val="1"/>
      <w:marLeft w:val="0"/>
      <w:marRight w:val="0"/>
      <w:marTop w:val="0"/>
      <w:marBottom w:val="0"/>
      <w:divBdr>
        <w:top w:val="none" w:sz="0" w:space="0" w:color="auto"/>
        <w:left w:val="none" w:sz="0" w:space="0" w:color="auto"/>
        <w:bottom w:val="none" w:sz="0" w:space="0" w:color="auto"/>
        <w:right w:val="none" w:sz="0" w:space="0" w:color="auto"/>
      </w:divBdr>
    </w:div>
    <w:div w:id="20530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CE2A61A9D1E54E9FFF80C354E949D4" ma:contentTypeVersion="6" ma:contentTypeDescription="Create a new document." ma:contentTypeScope="" ma:versionID="b551cfeab05a019097c00346eae81b67">
  <xsd:schema xmlns:xsd="http://www.w3.org/2001/XMLSchema" xmlns:xs="http://www.w3.org/2001/XMLSchema" xmlns:p="http://schemas.microsoft.com/office/2006/metadata/properties" xmlns:ns2="f4d36732-e6c1-4d35-a74a-a5258d763a75" targetNamespace="http://schemas.microsoft.com/office/2006/metadata/properties" ma:root="true" ma:fieldsID="96e7a8b605aeb15be3372f65cf050699" ns2:_="">
    <xsd:import namespace="f4d36732-e6c1-4d35-a74a-a5258d763a75"/>
    <xsd:element name="properties">
      <xsd:complexType>
        <xsd:sequence>
          <xsd:element name="documentManagement">
            <xsd:complexType>
              <xsd:all>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readOnly="false"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2114463D-CDEB-40ED-82EF-5EB258EDD214}"/>
</file>

<file path=customXml/itemProps2.xml><?xml version="1.0" encoding="utf-8"?>
<ds:datastoreItem xmlns:ds="http://schemas.openxmlformats.org/officeDocument/2006/customXml" ds:itemID="{2F50101D-BB0D-4ACA-BE3D-C29266DADB7A}"/>
</file>

<file path=customXml/itemProps3.xml><?xml version="1.0" encoding="utf-8"?>
<ds:datastoreItem xmlns:ds="http://schemas.openxmlformats.org/officeDocument/2006/customXml" ds:itemID="{A17B2A96-5467-4368-A1D5-08ECEEFCF370}"/>
</file>

<file path=customXml/itemProps4.xml><?xml version="1.0" encoding="utf-8"?>
<ds:datastoreItem xmlns:ds="http://schemas.openxmlformats.org/officeDocument/2006/customXml" ds:itemID="{3DFBC5D0-2319-450D-ABF6-C353B50AA08B}"/>
</file>

<file path=docProps/app.xml><?xml version="1.0" encoding="utf-8"?>
<Properties xmlns="http://schemas.openxmlformats.org/officeDocument/2006/extended-properties" xmlns:vt="http://schemas.openxmlformats.org/officeDocument/2006/docPropsVTypes">
  <Template>Normal</Template>
  <TotalTime>45</TotalTime>
  <Pages>7</Pages>
  <Words>1205</Words>
  <Characters>6629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jmaganr</cp:lastModifiedBy>
  <cp:revision>5</cp:revision>
  <cp:lastPrinted>2015-03-17T16:28:00Z</cp:lastPrinted>
  <dcterms:created xsi:type="dcterms:W3CDTF">2015-03-24T16:55:00Z</dcterms:created>
  <dcterms:modified xsi:type="dcterms:W3CDTF">2015-03-24T18:10:00Z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0x0101005DCE2A61A9D1E54E9FFF80C354E949D4</vt:lpwstr>
  </property>
</Properties>
</file>