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Pr="008F4832" w:rsidRDefault="00097BDE" w:rsidP="008F4832">
      <w:pPr>
        <w:spacing w:after="0"/>
        <w:jc w:val="center"/>
        <w:rPr>
          <w:rStyle w:val="Ttulodellibro"/>
          <w:rFonts w:ascii="Arial" w:hAnsi="Arial" w:cs="Arial"/>
          <w:color w:val="4F81BD" w:themeColor="accent1"/>
          <w:sz w:val="24"/>
          <w:szCs w:val="24"/>
          <w:u w:val="single"/>
        </w:rPr>
      </w:pPr>
      <w:r w:rsidRPr="008F4832">
        <w:rPr>
          <w:rStyle w:val="Ttulodellibro"/>
          <w:rFonts w:ascii="Arial" w:hAnsi="Arial" w:cs="Arial"/>
          <w:color w:val="4F81BD" w:themeColor="accent1"/>
          <w:sz w:val="24"/>
          <w:szCs w:val="24"/>
          <w:u w:val="single"/>
        </w:rPr>
        <w:t>Tercer</w:t>
      </w:r>
      <w:r w:rsidR="00AC7955" w:rsidRPr="008F4832">
        <w:rPr>
          <w:rStyle w:val="Ttulodellibro"/>
          <w:rFonts w:ascii="Arial" w:hAnsi="Arial" w:cs="Arial"/>
          <w:color w:val="4F81BD" w:themeColor="accent1"/>
          <w:sz w:val="24"/>
          <w:szCs w:val="24"/>
          <w:u w:val="single"/>
        </w:rPr>
        <w:t xml:space="preserve"> Debate Temático</w:t>
      </w:r>
    </w:p>
    <w:p w:rsidR="00AC7955" w:rsidRPr="008F4832" w:rsidRDefault="00AC7955" w:rsidP="008F4832">
      <w:pPr>
        <w:spacing w:after="0"/>
        <w:jc w:val="center"/>
        <w:rPr>
          <w:rFonts w:ascii="Arial" w:hAnsi="Arial" w:cs="Arial"/>
          <w:b/>
          <w:sz w:val="24"/>
          <w:szCs w:val="24"/>
          <w:u w:val="single"/>
        </w:rPr>
      </w:pPr>
    </w:p>
    <w:p w:rsidR="00AC7955" w:rsidRPr="008F4832" w:rsidRDefault="00AC7955" w:rsidP="008F4832">
      <w:pPr>
        <w:spacing w:after="0"/>
        <w:jc w:val="center"/>
        <w:rPr>
          <w:rFonts w:ascii="Arial" w:hAnsi="Arial" w:cs="Arial"/>
          <w:b/>
          <w:sz w:val="24"/>
          <w:szCs w:val="24"/>
        </w:rPr>
      </w:pPr>
      <w:r w:rsidRPr="008F4832">
        <w:rPr>
          <w:rFonts w:ascii="Arial" w:hAnsi="Arial" w:cs="Arial"/>
          <w:b/>
          <w:sz w:val="24"/>
          <w:szCs w:val="24"/>
        </w:rPr>
        <w:t>Hoja de Datos</w:t>
      </w:r>
      <w:r w:rsidR="0089173F">
        <w:rPr>
          <w:rStyle w:val="Refdenotaalpie"/>
          <w:rFonts w:ascii="Arial" w:hAnsi="Arial" w:cs="Arial"/>
          <w:b/>
          <w:sz w:val="24"/>
          <w:szCs w:val="24"/>
        </w:rPr>
        <w:footnoteReference w:id="1"/>
      </w:r>
      <w:r w:rsidRPr="008F4832">
        <w:rPr>
          <w:rFonts w:ascii="Arial" w:hAnsi="Arial" w:cs="Arial"/>
          <w:b/>
          <w:sz w:val="24"/>
          <w:szCs w:val="24"/>
        </w:rPr>
        <w:t xml:space="preserve"> </w:t>
      </w:r>
    </w:p>
    <w:p w:rsidR="00AC7955" w:rsidRPr="008F4832" w:rsidRDefault="00C0728E" w:rsidP="008F4832">
      <w:pPr>
        <w:spacing w:after="0"/>
        <w:jc w:val="center"/>
        <w:rPr>
          <w:rFonts w:ascii="Arial" w:hAnsi="Arial" w:cs="Arial"/>
          <w:b/>
          <w:sz w:val="24"/>
          <w:szCs w:val="24"/>
          <w:u w:val="single"/>
        </w:rPr>
      </w:pPr>
      <w:r>
        <w:rPr>
          <w:rFonts w:ascii="Arial" w:hAnsi="Arial" w:cs="Arial"/>
          <w:b/>
          <w:sz w:val="24"/>
          <w:szCs w:val="24"/>
          <w:u w:val="single"/>
        </w:rPr>
        <w:t>PERÚ</w:t>
      </w:r>
      <w:bookmarkStart w:id="0" w:name="_GoBack"/>
      <w:bookmarkEnd w:id="0"/>
    </w:p>
    <w:p w:rsidR="00522F6E" w:rsidRPr="008F4832" w:rsidRDefault="00522F6E" w:rsidP="008F4832">
      <w:pPr>
        <w:pStyle w:val="Prrafodelista"/>
        <w:spacing w:after="0"/>
        <w:jc w:val="both"/>
        <w:rPr>
          <w:rFonts w:ascii="Arial" w:hAnsi="Arial" w:cs="Arial"/>
          <w:b/>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097BDE" w:rsidP="008F4832">
            <w:pPr>
              <w:spacing w:line="276" w:lineRule="auto"/>
              <w:jc w:val="center"/>
              <w:rPr>
                <w:rFonts w:ascii="Arial" w:eastAsia="Times New Roman" w:hAnsi="Arial" w:cs="Arial"/>
                <w:b w:val="0"/>
                <w:iCs/>
                <w:sz w:val="24"/>
                <w:szCs w:val="24"/>
              </w:rPr>
            </w:pPr>
            <w:r w:rsidRPr="008F4832">
              <w:rPr>
                <w:rFonts w:ascii="Arial" w:eastAsia="Calibri" w:hAnsi="Arial" w:cs="Arial"/>
                <w:b w:val="0"/>
                <w:color w:val="000000"/>
                <w:sz w:val="24"/>
                <w:szCs w:val="24"/>
              </w:rPr>
              <w:t>Inexistencia de información</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5E04AA"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Breve </w:t>
            </w:r>
            <w:r w:rsidR="00882082" w:rsidRPr="008F4832">
              <w:rPr>
                <w:rFonts w:ascii="Arial" w:eastAsia="Calibri" w:hAnsi="Arial" w:cs="Arial"/>
                <w:sz w:val="24"/>
                <w:szCs w:val="24"/>
                <w:lang w:val="es-MX"/>
              </w:rPr>
              <w:t>Descripción</w:t>
            </w:r>
          </w:p>
        </w:tc>
        <w:tc>
          <w:tcPr>
            <w:tcW w:w="3834" w:type="pct"/>
          </w:tcPr>
          <w:p w:rsidR="00AC7955" w:rsidRPr="008F4832" w:rsidRDefault="00AC7955" w:rsidP="008F48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Se </w:t>
            </w:r>
            <w:r w:rsidR="00097BDE" w:rsidRPr="008F4832">
              <w:rPr>
                <w:rFonts w:ascii="Arial" w:eastAsia="Times New Roman" w:hAnsi="Arial" w:cs="Arial"/>
                <w:sz w:val="24"/>
                <w:szCs w:val="24"/>
                <w:lang w:val="es-MX" w:eastAsia="es-ES"/>
              </w:rPr>
              <w:t>estima</w:t>
            </w:r>
            <w:r w:rsidRPr="008F4832">
              <w:rPr>
                <w:rFonts w:ascii="Arial" w:eastAsia="Times New Roman" w:hAnsi="Arial" w:cs="Arial"/>
                <w:sz w:val="24"/>
                <w:szCs w:val="24"/>
                <w:lang w:val="es-MX" w:eastAsia="es-ES"/>
              </w:rPr>
              <w:t xml:space="preserve"> que, a fin de delimitar </w:t>
            </w:r>
            <w:r w:rsidR="00097BDE" w:rsidRPr="008F4832">
              <w:rPr>
                <w:rFonts w:ascii="Arial" w:eastAsia="Times New Roman" w:hAnsi="Arial" w:cs="Arial"/>
                <w:sz w:val="24"/>
                <w:szCs w:val="24"/>
                <w:lang w:val="es-MX" w:eastAsia="es-ES"/>
              </w:rPr>
              <w:t xml:space="preserve">el </w:t>
            </w:r>
            <w:r w:rsidRPr="008F4832">
              <w:rPr>
                <w:rFonts w:ascii="Arial" w:eastAsia="Times New Roman" w:hAnsi="Arial" w:cs="Arial"/>
                <w:sz w:val="24"/>
                <w:szCs w:val="24"/>
                <w:lang w:val="es-MX" w:eastAsia="es-ES"/>
              </w:rPr>
              <w:t>tema,</w:t>
            </w:r>
            <w:r w:rsidR="00097BDE" w:rsidRPr="008F4832">
              <w:rPr>
                <w:rFonts w:ascii="Arial" w:eastAsia="Times New Roman" w:hAnsi="Arial" w:cs="Arial"/>
                <w:sz w:val="24"/>
                <w:szCs w:val="24"/>
                <w:lang w:val="es-MX" w:eastAsia="es-ES"/>
              </w:rPr>
              <w:t xml:space="preserve"> los miembros del Grupo de Jurisprudencia y Criterios Administrativos puedan desarrollar</w:t>
            </w:r>
            <w:r w:rsidRPr="008F4832">
              <w:rPr>
                <w:rFonts w:ascii="Arial" w:eastAsia="Times New Roman" w:hAnsi="Arial" w:cs="Arial"/>
                <w:sz w:val="24"/>
                <w:szCs w:val="24"/>
                <w:lang w:val="es-MX" w:eastAsia="es-ES"/>
              </w:rPr>
              <w:t xml:space="preserve"> algunas reflexiones que, a manera de pregunta, sirvan como facilitadores del debate, a saber:</w:t>
            </w:r>
          </w:p>
          <w:p w:rsidR="00097BDE" w:rsidRDefault="003A596B"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Existe algún concepto sobre la “inexistencia de la informació</w:t>
            </w:r>
            <w:r>
              <w:rPr>
                <w:rFonts w:ascii="Arial" w:eastAsia="Times New Roman" w:hAnsi="Arial" w:cs="Arial"/>
                <w:sz w:val="24"/>
                <w:szCs w:val="24"/>
                <w:lang w:val="es-MX" w:eastAsia="es-ES"/>
              </w:rPr>
              <w:t>n”?</w:t>
            </w:r>
          </w:p>
          <w:p w:rsidR="003A596B" w:rsidRPr="008F4832" w:rsidRDefault="003A596B" w:rsidP="003A596B">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¿Cómo se </w:t>
            </w:r>
            <w:r>
              <w:rPr>
                <w:rFonts w:ascii="Arial" w:eastAsia="Times New Roman" w:hAnsi="Arial" w:cs="Arial"/>
                <w:sz w:val="24"/>
                <w:szCs w:val="24"/>
                <w:lang w:val="es-MX" w:eastAsia="es-ES"/>
              </w:rPr>
              <w:t>considera</w:t>
            </w:r>
            <w:r w:rsidRPr="008F4832">
              <w:rPr>
                <w:rFonts w:ascii="Arial" w:eastAsia="Times New Roman" w:hAnsi="Arial" w:cs="Arial"/>
                <w:sz w:val="24"/>
                <w:szCs w:val="24"/>
                <w:lang w:val="es-MX" w:eastAsia="es-ES"/>
              </w:rPr>
              <w:t xml:space="preserve"> la “inexistencia de la información” e</w:t>
            </w:r>
            <w:r>
              <w:rPr>
                <w:rFonts w:ascii="Arial" w:eastAsia="Times New Roman" w:hAnsi="Arial" w:cs="Arial"/>
                <w:sz w:val="24"/>
                <w:szCs w:val="24"/>
                <w:lang w:val="es-MX" w:eastAsia="es-ES"/>
              </w:rPr>
              <w:t xml:space="preserve">n las regulaciones nacionales? </w:t>
            </w:r>
          </w:p>
          <w:p w:rsidR="00097BDE" w:rsidRPr="008F4832"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¿Qué otros </w:t>
            </w:r>
            <w:r w:rsidR="00AC7955" w:rsidRPr="008F4832">
              <w:rPr>
                <w:rFonts w:ascii="Arial" w:eastAsia="Times New Roman" w:hAnsi="Arial" w:cs="Arial"/>
                <w:sz w:val="24"/>
                <w:szCs w:val="24"/>
                <w:lang w:val="es-MX" w:eastAsia="es-ES"/>
              </w:rPr>
              <w:t>conceptos</w:t>
            </w:r>
            <w:r w:rsidRPr="008F4832">
              <w:rPr>
                <w:rFonts w:ascii="Arial" w:eastAsia="Times New Roman" w:hAnsi="Arial" w:cs="Arial"/>
                <w:sz w:val="24"/>
                <w:szCs w:val="24"/>
                <w:lang w:val="es-MX" w:eastAsia="es-ES"/>
              </w:rPr>
              <w:t xml:space="preserve"> se encuentran relacionados con la </w:t>
            </w:r>
            <w:r w:rsidR="00A27E14">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inexistencia de la información</w:t>
            </w:r>
            <w:r w:rsidR="00A27E14">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w:t>
            </w:r>
          </w:p>
          <w:p w:rsidR="00AC7955" w:rsidRPr="008F4832" w:rsidRDefault="003A596B"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w:t>
            </w:r>
            <w:r w:rsidR="00097BDE" w:rsidRPr="008F4832">
              <w:rPr>
                <w:rFonts w:ascii="Arial" w:eastAsia="Times New Roman" w:hAnsi="Arial" w:cs="Arial"/>
                <w:sz w:val="24"/>
                <w:szCs w:val="24"/>
                <w:lang w:val="es-MX" w:eastAsia="es-ES"/>
              </w:rPr>
              <w:t xml:space="preserve"> son los distintos actores involucrados en la declaratoria de </w:t>
            </w: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inexistencia de información</w:t>
            </w: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 xml:space="preserve">? </w:t>
            </w:r>
          </w:p>
          <w:p w:rsidR="00097BDE" w:rsidRPr="008F4832"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Identifique el proceso por el cual se resuelve un tema vinculado a la “inexistencia de la información”. </w:t>
            </w:r>
          </w:p>
          <w:p w:rsidR="00AC7955" w:rsidRDefault="00AC7955"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¿Qué requisitos son necesarios acreditar </w:t>
            </w:r>
            <w:r w:rsidR="003A596B">
              <w:rPr>
                <w:rFonts w:ascii="Arial" w:eastAsia="Times New Roman" w:hAnsi="Arial" w:cs="Arial"/>
                <w:sz w:val="24"/>
                <w:szCs w:val="24"/>
                <w:lang w:val="es-MX" w:eastAsia="es-ES"/>
              </w:rPr>
              <w:t>para “</w:t>
            </w:r>
            <w:r w:rsidR="00097BDE" w:rsidRPr="008F4832">
              <w:rPr>
                <w:rFonts w:ascii="Arial" w:eastAsia="Times New Roman" w:hAnsi="Arial" w:cs="Arial"/>
                <w:sz w:val="24"/>
                <w:szCs w:val="24"/>
                <w:lang w:val="es-MX" w:eastAsia="es-ES"/>
              </w:rPr>
              <w:t>la inexistencia de información</w:t>
            </w:r>
            <w:r w:rsidR="003A596B">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w:t>
            </w:r>
          </w:p>
          <w:p w:rsidR="00486A8A" w:rsidRPr="008F4832" w:rsidRDefault="00486A8A"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¿Qué provee la normativa cuando se argumenta la inexistencia de información?</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País</w:t>
            </w:r>
          </w:p>
        </w:tc>
        <w:tc>
          <w:tcPr>
            <w:tcW w:w="3834" w:type="pct"/>
          </w:tcPr>
          <w:p w:rsidR="00522F6E" w:rsidRPr="008F4832" w:rsidRDefault="0089173F" w:rsidP="008F4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33CF4">
              <w:rPr>
                <w:rFonts w:ascii="Palatino Linotype" w:eastAsia="Times New Roman" w:hAnsi="Palatino Linotype" w:cs="Arial"/>
                <w:b/>
                <w:iCs/>
                <w:sz w:val="24"/>
                <w:szCs w:val="24"/>
              </w:rPr>
              <w:t>PERÚ/DEFENSORÍA DEL PUEBLO</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Consideraciones Generales (Relevancia del tema)</w:t>
            </w:r>
          </w:p>
        </w:tc>
        <w:tc>
          <w:tcPr>
            <w:tcW w:w="3834" w:type="pct"/>
          </w:tcPr>
          <w:p w:rsidR="008A3440" w:rsidRDefault="008A3440" w:rsidP="0055160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8A3440" w:rsidRDefault="008A3440" w:rsidP="0055160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Determinar en qué casos nos encontramos en un supuesto de negativa de información porque lo solicitado implica un proceso de creación o producción o, cuál es el procedimiento a seguir para declarar la inexistencia de información, no solo repercute en el ejercicio de un derecho fundamental sino que además puede ayudar a combatir la cultura del secreto en la Administración Pública.</w:t>
            </w:r>
          </w:p>
          <w:p w:rsidR="008A3440" w:rsidRDefault="008A3440" w:rsidP="0055160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605349" w:rsidRPr="00191EDB" w:rsidRDefault="008A3440" w:rsidP="0055160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eastAsia="Times New Roman" w:hAnsi="Arial" w:cs="Arial"/>
                <w:iCs/>
                <w:sz w:val="24"/>
                <w:szCs w:val="24"/>
              </w:rPr>
              <w:t>Al respecto, las entidades públicas están obligadas</w:t>
            </w:r>
            <w:r w:rsidR="00605349" w:rsidRPr="00191EDB">
              <w:rPr>
                <w:rFonts w:ascii="Arial" w:hAnsi="Arial" w:cs="Arial"/>
                <w:sz w:val="24"/>
                <w:szCs w:val="24"/>
              </w:rPr>
              <w:t xml:space="preserve">, previa solicitud, a proveer toda la información pública que se encuentra en </w:t>
            </w:r>
            <w:r w:rsidR="00887D30">
              <w:rPr>
                <w:rFonts w:ascii="Arial" w:hAnsi="Arial" w:cs="Arial"/>
                <w:sz w:val="24"/>
                <w:szCs w:val="24"/>
              </w:rPr>
              <w:t>su poder</w:t>
            </w:r>
            <w:r w:rsidR="00605349" w:rsidRPr="00191EDB">
              <w:rPr>
                <w:rFonts w:ascii="Arial" w:hAnsi="Arial" w:cs="Arial"/>
                <w:sz w:val="24"/>
                <w:szCs w:val="24"/>
              </w:rPr>
              <w:t>, ya sea que la genere, procese o posea, incluida la contenida documentos terminados o en trámite, estudios, dictámenes, datos estadísticos, entre otros, y cualquier documento cualquiera sea su forma o soporte de expresión o formato. (art. 10° del T</w:t>
            </w:r>
            <w:r w:rsidR="007D235C">
              <w:rPr>
                <w:rFonts w:ascii="Arial" w:hAnsi="Arial" w:cs="Arial"/>
                <w:sz w:val="24"/>
                <w:szCs w:val="24"/>
              </w:rPr>
              <w:t xml:space="preserve">exto Único Ordenado de la </w:t>
            </w:r>
            <w:r w:rsidR="00605349" w:rsidRPr="00191EDB">
              <w:rPr>
                <w:rFonts w:ascii="Arial" w:hAnsi="Arial" w:cs="Arial"/>
                <w:sz w:val="24"/>
                <w:szCs w:val="24"/>
              </w:rPr>
              <w:t>Ley</w:t>
            </w:r>
            <w:r w:rsidR="007D235C">
              <w:rPr>
                <w:rFonts w:ascii="Arial" w:hAnsi="Arial" w:cs="Arial"/>
                <w:sz w:val="24"/>
                <w:szCs w:val="24"/>
              </w:rPr>
              <w:t xml:space="preserve"> de Transparencia y Acceso a la Información Pública, Ley 27806, </w:t>
            </w:r>
            <w:r w:rsidR="00605349" w:rsidRPr="00191EDB">
              <w:rPr>
                <w:rFonts w:ascii="Arial" w:hAnsi="Arial" w:cs="Arial"/>
                <w:sz w:val="24"/>
                <w:szCs w:val="24"/>
              </w:rPr>
              <w:t xml:space="preserve">y art. 61° del </w:t>
            </w:r>
            <w:r w:rsidR="00605349" w:rsidRPr="00191EDB">
              <w:rPr>
                <w:rFonts w:ascii="Arial" w:hAnsi="Arial" w:cs="Arial"/>
                <w:bCs/>
                <w:sz w:val="24"/>
                <w:szCs w:val="24"/>
              </w:rPr>
              <w:t>Código Procesal Constitucional</w:t>
            </w:r>
            <w:r w:rsidR="00605349" w:rsidRPr="00191EDB">
              <w:rPr>
                <w:rFonts w:ascii="Arial" w:hAnsi="Arial" w:cs="Arial"/>
                <w:sz w:val="24"/>
                <w:szCs w:val="24"/>
              </w:rPr>
              <w:t>)</w:t>
            </w:r>
          </w:p>
          <w:p w:rsidR="00605349" w:rsidRDefault="00605349" w:rsidP="0055160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C5CE6" w:rsidRDefault="003A1E2C" w:rsidP="0055160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 ahí que, </w:t>
            </w:r>
            <w:r w:rsidR="00CC5CE6">
              <w:rPr>
                <w:rFonts w:ascii="Arial" w:hAnsi="Arial" w:cs="Arial"/>
                <w:sz w:val="24"/>
                <w:szCs w:val="24"/>
              </w:rPr>
              <w:t xml:space="preserve">las entidades no están obligadas a atender un pedido de información cuando </w:t>
            </w:r>
            <w:r w:rsidR="00D572AB">
              <w:rPr>
                <w:rFonts w:ascii="Arial" w:hAnsi="Arial" w:cs="Arial"/>
                <w:sz w:val="24"/>
                <w:szCs w:val="24"/>
              </w:rPr>
              <w:t xml:space="preserve">la entrega les </w:t>
            </w:r>
            <w:r w:rsidR="00CC5CE6">
              <w:rPr>
                <w:rFonts w:ascii="Arial" w:hAnsi="Arial" w:cs="Arial"/>
                <w:sz w:val="24"/>
                <w:szCs w:val="24"/>
              </w:rPr>
              <w:t>exige crear o producir nueva información (art. 13</w:t>
            </w:r>
            <w:r w:rsidR="00CC5CE6" w:rsidRPr="00191EDB">
              <w:rPr>
                <w:rFonts w:ascii="Arial" w:hAnsi="Arial" w:cs="Arial"/>
                <w:sz w:val="24"/>
                <w:szCs w:val="24"/>
              </w:rPr>
              <w:t>°</w:t>
            </w:r>
            <w:r w:rsidR="00CC5CE6">
              <w:rPr>
                <w:rFonts w:ascii="Arial" w:hAnsi="Arial" w:cs="Arial"/>
                <w:sz w:val="24"/>
                <w:szCs w:val="24"/>
              </w:rPr>
              <w:t xml:space="preserve"> de la Ley 27806).</w:t>
            </w:r>
          </w:p>
          <w:p w:rsidR="00CC5CE6" w:rsidRDefault="00CC5CE6" w:rsidP="0055160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32DF3" w:rsidRDefault="00CC5CE6" w:rsidP="00CC5C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Este argumento </w:t>
            </w:r>
            <w:r w:rsidR="003A1E2C">
              <w:rPr>
                <w:rFonts w:ascii="Arial" w:hAnsi="Arial" w:cs="Arial"/>
                <w:sz w:val="24"/>
                <w:szCs w:val="24"/>
              </w:rPr>
              <w:t xml:space="preserve">es </w:t>
            </w:r>
            <w:r>
              <w:rPr>
                <w:rFonts w:ascii="Arial" w:hAnsi="Arial" w:cs="Arial"/>
                <w:sz w:val="24"/>
                <w:szCs w:val="24"/>
              </w:rPr>
              <w:t>usado</w:t>
            </w:r>
            <w:r w:rsidR="00D96576">
              <w:rPr>
                <w:rFonts w:ascii="Arial" w:hAnsi="Arial" w:cs="Arial"/>
                <w:sz w:val="24"/>
                <w:szCs w:val="24"/>
              </w:rPr>
              <w:t xml:space="preserve"> reiteradamente</w:t>
            </w:r>
            <w:r w:rsidR="003A1E2C">
              <w:rPr>
                <w:rStyle w:val="Refdenotaalpie"/>
                <w:rFonts w:ascii="Arial" w:hAnsi="Arial" w:cs="Arial"/>
                <w:sz w:val="24"/>
                <w:szCs w:val="24"/>
              </w:rPr>
              <w:footnoteReference w:id="2"/>
            </w:r>
            <w:r w:rsidR="00D96576">
              <w:rPr>
                <w:rFonts w:ascii="Arial" w:hAnsi="Arial" w:cs="Arial"/>
                <w:sz w:val="24"/>
                <w:szCs w:val="24"/>
              </w:rPr>
              <w:t xml:space="preserve"> por </w:t>
            </w:r>
            <w:r>
              <w:rPr>
                <w:rFonts w:ascii="Arial" w:hAnsi="Arial" w:cs="Arial"/>
                <w:sz w:val="24"/>
                <w:szCs w:val="24"/>
              </w:rPr>
              <w:t>a</w:t>
            </w:r>
            <w:r w:rsidR="00D96576">
              <w:rPr>
                <w:rFonts w:ascii="Arial" w:hAnsi="Arial" w:cs="Arial"/>
                <w:sz w:val="24"/>
                <w:szCs w:val="24"/>
              </w:rPr>
              <w:t>lgunas entidades</w:t>
            </w:r>
            <w:r w:rsidR="003A1E2C">
              <w:rPr>
                <w:rFonts w:ascii="Arial" w:hAnsi="Arial" w:cs="Arial"/>
                <w:sz w:val="24"/>
                <w:szCs w:val="24"/>
              </w:rPr>
              <w:t xml:space="preserve"> para negar </w:t>
            </w:r>
            <w:r w:rsidR="003A1E2C">
              <w:rPr>
                <w:rFonts w:ascii="Arial" w:hAnsi="Arial" w:cs="Arial"/>
                <w:sz w:val="24"/>
                <w:szCs w:val="24"/>
              </w:rPr>
              <w:lastRenderedPageBreak/>
              <w:t xml:space="preserve">el </w:t>
            </w:r>
            <w:r w:rsidR="00C32DF3">
              <w:rPr>
                <w:rFonts w:ascii="Arial" w:hAnsi="Arial" w:cs="Arial"/>
                <w:sz w:val="24"/>
                <w:szCs w:val="24"/>
              </w:rPr>
              <w:t>acceso a la información pública -ya sea correcta o incorrectamente-, lo que obliga al ciudadano a acudir al órgano jurisdiccional quien determinará finalmente, cuando las entidades están negando incorrectamente el acceso a la información o no.</w:t>
            </w:r>
          </w:p>
          <w:p w:rsidR="00C32DF3" w:rsidRDefault="00C32DF3" w:rsidP="00CC5C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94847" w:rsidRDefault="001B2A1A" w:rsidP="00C32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 este respecto, </w:t>
            </w:r>
            <w:r w:rsidR="00C32DF3">
              <w:rPr>
                <w:rFonts w:ascii="Arial" w:hAnsi="Arial" w:cs="Arial"/>
                <w:sz w:val="24"/>
                <w:szCs w:val="24"/>
              </w:rPr>
              <w:t xml:space="preserve">cabe señalar que en muchos casos, las entidades </w:t>
            </w:r>
            <w:r w:rsidR="00CC5CE6">
              <w:rPr>
                <w:rFonts w:ascii="Arial" w:hAnsi="Arial" w:cs="Arial"/>
                <w:sz w:val="24"/>
                <w:szCs w:val="24"/>
              </w:rPr>
              <w:t>consideran que extraer información de bases de datos en formato no físico o elaborar documentos físicos con información sobre sus funciones, es crear o producir nueva información</w:t>
            </w:r>
            <w:r w:rsidR="00C32DF3">
              <w:rPr>
                <w:rFonts w:ascii="Arial" w:hAnsi="Arial" w:cs="Arial"/>
                <w:sz w:val="24"/>
                <w:szCs w:val="24"/>
              </w:rPr>
              <w:t>, lo que se convierte en una barrera a</w:t>
            </w:r>
            <w:r w:rsidR="00A03EC7">
              <w:rPr>
                <w:rFonts w:ascii="Arial" w:hAnsi="Arial" w:cs="Arial"/>
                <w:sz w:val="24"/>
                <w:szCs w:val="24"/>
              </w:rPr>
              <w:t>l</w:t>
            </w:r>
            <w:r w:rsidR="00C32DF3">
              <w:rPr>
                <w:rFonts w:ascii="Arial" w:hAnsi="Arial" w:cs="Arial"/>
                <w:sz w:val="24"/>
                <w:szCs w:val="24"/>
              </w:rPr>
              <w:t xml:space="preserve"> ejercicio de un derecho fundamental.</w:t>
            </w:r>
          </w:p>
          <w:p w:rsidR="00C32DF3" w:rsidRPr="008F4832" w:rsidRDefault="00C32DF3" w:rsidP="00C32DF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 xml:space="preserve">Consideraciones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(Posición sobre el tema)</w:t>
            </w:r>
          </w:p>
        </w:tc>
        <w:tc>
          <w:tcPr>
            <w:tcW w:w="3834" w:type="pct"/>
          </w:tcPr>
          <w:p w:rsidR="003D5D51" w:rsidRPr="000F4F45" w:rsidRDefault="003D5D51" w:rsidP="003D5D5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0F4F45">
              <w:rPr>
                <w:rFonts w:ascii="Arial" w:eastAsia="Times New Roman" w:hAnsi="Arial" w:cs="Arial"/>
                <w:sz w:val="24"/>
                <w:szCs w:val="24"/>
                <w:lang w:val="es-MX" w:eastAsia="es-ES"/>
              </w:rPr>
              <w:t xml:space="preserve">La normativa sobre la materia sí hace mención a la inexistencia </w:t>
            </w:r>
            <w:r w:rsidR="00792363" w:rsidRPr="000F4F45">
              <w:rPr>
                <w:rFonts w:ascii="Arial" w:eastAsia="Times New Roman" w:hAnsi="Arial" w:cs="Arial"/>
                <w:sz w:val="24"/>
                <w:szCs w:val="24"/>
                <w:lang w:val="es-MX" w:eastAsia="es-ES"/>
              </w:rPr>
              <w:t xml:space="preserve">de información como supuesto que justifique la negativa </w:t>
            </w:r>
            <w:r w:rsidRPr="000F4F45">
              <w:rPr>
                <w:rFonts w:ascii="Arial" w:hAnsi="Arial" w:cs="Arial"/>
                <w:sz w:val="24"/>
                <w:szCs w:val="24"/>
              </w:rPr>
              <w:t>a la solicitud de acceso</w:t>
            </w:r>
            <w:r w:rsidRPr="000F4F45">
              <w:rPr>
                <w:rFonts w:ascii="Arial" w:eastAsia="Times New Roman" w:hAnsi="Arial" w:cs="Arial"/>
                <w:sz w:val="24"/>
                <w:szCs w:val="24"/>
                <w:lang w:val="es-MX" w:eastAsia="es-ES"/>
              </w:rPr>
              <w:t>.</w:t>
            </w:r>
            <w:r w:rsidR="00094847" w:rsidRPr="000F4F45">
              <w:rPr>
                <w:rFonts w:ascii="Arial" w:eastAsia="Times New Roman" w:hAnsi="Arial" w:cs="Arial"/>
                <w:sz w:val="24"/>
                <w:szCs w:val="24"/>
                <w:lang w:val="es-MX" w:eastAsia="es-ES"/>
              </w:rPr>
              <w:t xml:space="preserve"> </w:t>
            </w:r>
            <w:r w:rsidRPr="000F4F45">
              <w:rPr>
                <w:rFonts w:ascii="Arial" w:eastAsia="Times New Roman" w:hAnsi="Arial" w:cs="Arial"/>
                <w:sz w:val="24"/>
                <w:szCs w:val="24"/>
                <w:lang w:val="es-MX" w:eastAsia="es-ES"/>
              </w:rPr>
              <w:t xml:space="preserve">Al respecto, el </w:t>
            </w:r>
            <w:r w:rsidRPr="000F4F45">
              <w:rPr>
                <w:rFonts w:ascii="Arial" w:eastAsia="Times New Roman" w:hAnsi="Arial" w:cs="Arial"/>
                <w:sz w:val="24"/>
                <w:szCs w:val="24"/>
                <w:lang w:eastAsia="es-ES"/>
              </w:rPr>
              <w:t>Texto Único Ordenado de la Ley de Transparencia y Acceso a la In</w:t>
            </w:r>
            <w:r w:rsidR="00191EDB">
              <w:rPr>
                <w:rFonts w:ascii="Arial" w:eastAsia="Times New Roman" w:hAnsi="Arial" w:cs="Arial"/>
                <w:sz w:val="24"/>
                <w:szCs w:val="24"/>
                <w:lang w:eastAsia="es-ES"/>
              </w:rPr>
              <w:t>formación Pública, Ley Nº 27806</w:t>
            </w:r>
            <w:r w:rsidRPr="000F4F45">
              <w:rPr>
                <w:rFonts w:ascii="Arial" w:eastAsia="Times New Roman" w:hAnsi="Arial" w:cs="Arial"/>
                <w:sz w:val="24"/>
                <w:szCs w:val="24"/>
                <w:lang w:eastAsia="es-ES"/>
              </w:rPr>
              <w:t xml:space="preserve">, señala </w:t>
            </w:r>
            <w:r w:rsidR="00094847" w:rsidRPr="000F4F45">
              <w:rPr>
                <w:rFonts w:ascii="Arial" w:eastAsia="Times New Roman" w:hAnsi="Arial" w:cs="Arial"/>
                <w:sz w:val="24"/>
                <w:szCs w:val="24"/>
                <w:lang w:eastAsia="es-ES"/>
              </w:rPr>
              <w:t>lo siguiente:</w:t>
            </w:r>
          </w:p>
          <w:p w:rsidR="003D5D51" w:rsidRPr="000F4F45" w:rsidRDefault="003D5D51" w:rsidP="003D5D5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s-ES"/>
              </w:rPr>
            </w:pPr>
          </w:p>
          <w:p w:rsidR="00792363" w:rsidRPr="000F4F45" w:rsidRDefault="00792363" w:rsidP="00094847">
            <w:pPr>
              <w:ind w:left="55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4F45">
              <w:rPr>
                <w:rFonts w:ascii="Arial" w:hAnsi="Arial" w:cs="Arial"/>
                <w:sz w:val="24"/>
                <w:szCs w:val="24"/>
              </w:rPr>
              <w:t xml:space="preserve">Artículo 13.- Denegatoria de acceso </w:t>
            </w:r>
          </w:p>
          <w:p w:rsidR="00792363" w:rsidRPr="000F4F45" w:rsidRDefault="00792363" w:rsidP="00094847">
            <w:pPr>
              <w:spacing w:line="276" w:lineRule="auto"/>
              <w:ind w:left="55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4F45">
              <w:rPr>
                <w:rFonts w:ascii="Arial" w:hAnsi="Arial" w:cs="Arial"/>
                <w:sz w:val="24"/>
                <w:szCs w:val="24"/>
              </w:rPr>
              <w:t>(…)</w:t>
            </w:r>
          </w:p>
          <w:p w:rsidR="00792363" w:rsidRPr="000F4F45" w:rsidRDefault="00792363" w:rsidP="00094847">
            <w:pPr>
              <w:spacing w:line="276" w:lineRule="auto"/>
              <w:ind w:left="55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4F45">
              <w:rPr>
                <w:rFonts w:ascii="Arial" w:hAnsi="Arial" w:cs="Arial"/>
                <w:sz w:val="24"/>
                <w:szCs w:val="24"/>
              </w:rPr>
              <w:t>La solicitud de información no implica la obligación de las entidades de la Administración Pública de crear o producir información con la que no cuente o no tenga obligación de contar al momento de efectuarse el pedido. En este caso, la entidad de la Administración Pública deberá comunicar por escrito que la denegatoria de la solicitud se debe a la inexistencia de datos en su poder respecto de la información solicitada. Esta Ley tampoco permite que los solicitantes exijan a las entidades que efectúen evaluaciones o análisis de la información que posean.</w:t>
            </w:r>
          </w:p>
          <w:p w:rsidR="00792363" w:rsidRPr="000F4F45" w:rsidRDefault="00792363" w:rsidP="003D5D5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2091D" w:rsidRDefault="00792363" w:rsidP="000F4F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4F45">
              <w:rPr>
                <w:rFonts w:ascii="Arial" w:eastAsia="Times New Roman" w:hAnsi="Arial" w:cs="Arial"/>
                <w:sz w:val="24"/>
                <w:szCs w:val="24"/>
                <w:lang w:val="es-MX" w:eastAsia="es-ES"/>
              </w:rPr>
              <w:t xml:space="preserve">Además, </w:t>
            </w:r>
            <w:r w:rsidR="003D5D51" w:rsidRPr="000F4F45">
              <w:rPr>
                <w:rFonts w:ascii="Arial" w:eastAsia="Times New Roman" w:hAnsi="Arial" w:cs="Arial"/>
                <w:sz w:val="24"/>
                <w:szCs w:val="24"/>
                <w:lang w:val="es-MX" w:eastAsia="es-ES"/>
              </w:rPr>
              <w:t xml:space="preserve">el </w:t>
            </w:r>
            <w:r w:rsidR="003D5D51" w:rsidRPr="000F4F45">
              <w:rPr>
                <w:rFonts w:ascii="Arial" w:eastAsia="Times New Roman" w:hAnsi="Arial" w:cs="Arial"/>
                <w:sz w:val="24"/>
                <w:szCs w:val="24"/>
                <w:lang w:eastAsia="es-ES"/>
              </w:rPr>
              <w:t>artículo 1</w:t>
            </w:r>
            <w:r w:rsidRPr="000F4F45">
              <w:rPr>
                <w:rFonts w:ascii="Arial" w:eastAsia="Times New Roman" w:hAnsi="Arial" w:cs="Arial"/>
                <w:sz w:val="24"/>
                <w:szCs w:val="24"/>
                <w:lang w:eastAsia="es-ES"/>
              </w:rPr>
              <w:t>1.b</w:t>
            </w:r>
            <w:r w:rsidR="003D5D51" w:rsidRPr="000F4F45">
              <w:rPr>
                <w:rFonts w:ascii="Arial" w:eastAsia="Times New Roman" w:hAnsi="Arial" w:cs="Arial"/>
                <w:sz w:val="24"/>
                <w:szCs w:val="24"/>
                <w:lang w:eastAsia="es-ES"/>
              </w:rPr>
              <w:t xml:space="preserve"> establece que </w:t>
            </w:r>
            <w:r w:rsidRPr="000F4F45">
              <w:rPr>
                <w:rFonts w:ascii="Arial" w:eastAsia="Times New Roman" w:hAnsi="Arial" w:cs="Arial"/>
                <w:sz w:val="24"/>
                <w:szCs w:val="24"/>
                <w:lang w:eastAsia="es-ES"/>
              </w:rPr>
              <w:t xml:space="preserve">si la </w:t>
            </w:r>
            <w:r w:rsidRPr="000F4F45">
              <w:rPr>
                <w:rFonts w:ascii="Arial" w:hAnsi="Arial" w:cs="Arial"/>
                <w:sz w:val="24"/>
                <w:szCs w:val="24"/>
              </w:rPr>
              <w:t xml:space="preserve">entidad </w:t>
            </w:r>
            <w:r w:rsidR="009E4EBE">
              <w:rPr>
                <w:rFonts w:ascii="Arial" w:hAnsi="Arial" w:cs="Arial"/>
                <w:sz w:val="24"/>
                <w:szCs w:val="24"/>
              </w:rPr>
              <w:t xml:space="preserve">pública no posee </w:t>
            </w:r>
            <w:r w:rsidRPr="000F4F45">
              <w:rPr>
                <w:rFonts w:ascii="Arial" w:hAnsi="Arial" w:cs="Arial"/>
                <w:sz w:val="24"/>
                <w:szCs w:val="24"/>
              </w:rPr>
              <w:t xml:space="preserve">la información solicitada, pero sí conoce su ubicación y destino, deberá </w:t>
            </w:r>
            <w:r w:rsidR="009E4EBE">
              <w:rPr>
                <w:rFonts w:ascii="Arial" w:hAnsi="Arial" w:cs="Arial"/>
                <w:sz w:val="24"/>
                <w:szCs w:val="24"/>
              </w:rPr>
              <w:t>poner en conocimiento de ello a</w:t>
            </w:r>
            <w:r w:rsidRPr="000F4F45">
              <w:rPr>
                <w:rFonts w:ascii="Arial" w:hAnsi="Arial" w:cs="Arial"/>
                <w:sz w:val="24"/>
                <w:szCs w:val="24"/>
              </w:rPr>
              <w:t>l solicitante.</w:t>
            </w:r>
          </w:p>
          <w:p w:rsidR="00DA2133" w:rsidRDefault="00DA2133" w:rsidP="000F4F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A2133" w:rsidRPr="008F4832" w:rsidRDefault="00DA2133" w:rsidP="00DA213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hAnsi="Arial" w:cs="Arial"/>
                <w:sz w:val="24"/>
                <w:szCs w:val="24"/>
              </w:rPr>
              <w:t>Sin embargo, no existen base legal ni pronunciamientos vinculantes sobre qué es la inexistencia de información, quién declara la inexistencia de información, cuáles son los requisitos o pasos para declararla o cómo se puede contradecir esta declaración.</w:t>
            </w:r>
          </w:p>
          <w:p w:rsidR="00DA2133" w:rsidRPr="008F4832" w:rsidRDefault="00DA2133" w:rsidP="00DA213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33112F" w:rsidRPr="008F4832" w:rsidRDefault="0033112F"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Áreas de oportunidad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w:t>
            </w:r>
            <w:r w:rsidR="0033112F" w:rsidRPr="008F4832">
              <w:rPr>
                <w:rFonts w:ascii="Arial" w:eastAsia="Calibri" w:hAnsi="Arial" w:cs="Arial"/>
                <w:sz w:val="24"/>
                <w:szCs w:val="24"/>
                <w:lang w:val="es-MX"/>
              </w:rPr>
              <w:t>¿Qué</w:t>
            </w:r>
            <w:r w:rsidRPr="008F4832">
              <w:rPr>
                <w:rFonts w:ascii="Arial" w:eastAsia="Calibri" w:hAnsi="Arial" w:cs="Arial"/>
                <w:sz w:val="24"/>
                <w:szCs w:val="24"/>
                <w:lang w:val="es-MX"/>
              </w:rPr>
              <w:t xml:space="preserve"> hace falta para mejorar el derecho de acceso en el tema a discusión</w:t>
            </w:r>
            <w:r w:rsidR="0033112F" w:rsidRPr="008F4832">
              <w:rPr>
                <w:rFonts w:ascii="Arial" w:eastAsia="Calibri" w:hAnsi="Arial" w:cs="Arial"/>
                <w:sz w:val="24"/>
                <w:szCs w:val="24"/>
                <w:lang w:val="es-MX"/>
              </w:rPr>
              <w:t>? – Nuevos Retos)</w:t>
            </w:r>
          </w:p>
        </w:tc>
        <w:tc>
          <w:tcPr>
            <w:tcW w:w="3834" w:type="pct"/>
          </w:tcPr>
          <w:p w:rsidR="0022091D" w:rsidRPr="00613513" w:rsidRDefault="0022091D" w:rsidP="0022091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PE"/>
              </w:rPr>
            </w:pPr>
            <w:r w:rsidRPr="000F4F45">
              <w:rPr>
                <w:rFonts w:ascii="Arial" w:hAnsi="Arial" w:cs="Arial"/>
                <w:sz w:val="24"/>
                <w:szCs w:val="24"/>
                <w:lang w:val="es-PE"/>
              </w:rPr>
              <w:t>D</w:t>
            </w:r>
            <w:r w:rsidRPr="000F4F45">
              <w:rPr>
                <w:rFonts w:ascii="Arial" w:hAnsi="Arial" w:cs="Arial"/>
                <w:sz w:val="24"/>
                <w:szCs w:val="24"/>
              </w:rPr>
              <w:t>esarrollar pautas o criterios para fijar un procedimiento que determine cuando la información solicitada no existe.</w:t>
            </w:r>
          </w:p>
          <w:p w:rsidR="00613513" w:rsidRPr="000F4F45" w:rsidRDefault="00613513" w:rsidP="00613513">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PE"/>
              </w:rPr>
            </w:pPr>
          </w:p>
          <w:p w:rsidR="00DD1575" w:rsidRPr="000F4F45" w:rsidRDefault="00DD1575" w:rsidP="00DD1575">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PE"/>
              </w:rPr>
            </w:pPr>
            <w:r w:rsidRPr="000F4F45">
              <w:rPr>
                <w:rFonts w:ascii="Arial" w:eastAsia="Times New Roman" w:hAnsi="Arial" w:cs="Arial"/>
                <w:iCs/>
                <w:sz w:val="24"/>
                <w:szCs w:val="24"/>
                <w:lang w:val="es-PE"/>
              </w:rPr>
              <w:t>Determinar la pertinencia de que estos criterios sean incorporados en las legislaciones sobre transparencia y acceso a la información de los países miembros.</w:t>
            </w:r>
          </w:p>
          <w:p w:rsidR="00522F6E" w:rsidRPr="00DD1575" w:rsidRDefault="00522F6E" w:rsidP="008F48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PE"/>
              </w:rPr>
            </w:pP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Precedentes o </w:t>
            </w:r>
            <w:r w:rsidRPr="008F4832">
              <w:rPr>
                <w:rFonts w:ascii="Arial" w:eastAsia="Calibri" w:hAnsi="Arial" w:cs="Arial"/>
                <w:sz w:val="24"/>
                <w:szCs w:val="24"/>
                <w:lang w:val="es-MX"/>
              </w:rPr>
              <w:lastRenderedPageBreak/>
              <w:t>criterios</w:t>
            </w:r>
          </w:p>
          <w:p w:rsidR="00882082" w:rsidRPr="008F4832" w:rsidRDefault="00882082" w:rsidP="008F4832">
            <w:pPr>
              <w:spacing w:line="276" w:lineRule="auto"/>
              <w:jc w:val="center"/>
              <w:rPr>
                <w:rFonts w:ascii="Arial" w:eastAsia="Calibri" w:hAnsi="Arial" w:cs="Arial"/>
                <w:sz w:val="24"/>
                <w:szCs w:val="24"/>
                <w:lang w:val="es-MX"/>
              </w:rPr>
            </w:pPr>
            <w:r w:rsidRPr="008F4832">
              <w:rPr>
                <w:rFonts w:ascii="Arial" w:eastAsia="Calibri" w:hAnsi="Arial" w:cs="Arial"/>
                <w:sz w:val="24"/>
                <w:szCs w:val="24"/>
                <w:lang w:val="es-MX"/>
              </w:rPr>
              <w:t>(Cómo se ha resuelto el tema en su país)</w:t>
            </w:r>
          </w:p>
        </w:tc>
        <w:tc>
          <w:tcPr>
            <w:tcW w:w="3834" w:type="pct"/>
          </w:tcPr>
          <w:p w:rsidR="00522F6E" w:rsidRPr="002371D2" w:rsidRDefault="00D0626C"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371D2">
              <w:rPr>
                <w:rFonts w:ascii="Arial" w:eastAsia="Times New Roman" w:hAnsi="Arial" w:cs="Arial"/>
                <w:iCs/>
                <w:sz w:val="24"/>
                <w:szCs w:val="24"/>
              </w:rPr>
              <w:lastRenderedPageBreak/>
              <w:t xml:space="preserve">A la fecha, el Tribunal Constitucional ha emitido los siguientes criterios </w:t>
            </w:r>
            <w:r w:rsidRPr="002371D2">
              <w:rPr>
                <w:rFonts w:ascii="Arial" w:eastAsia="Times New Roman" w:hAnsi="Arial" w:cs="Arial"/>
                <w:iCs/>
                <w:sz w:val="24"/>
                <w:szCs w:val="24"/>
              </w:rPr>
              <w:lastRenderedPageBreak/>
              <w:t>relacionados con la inexistencia de información:</w:t>
            </w:r>
          </w:p>
          <w:p w:rsidR="00D0626C" w:rsidRPr="002371D2" w:rsidRDefault="00D0626C"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920987" w:rsidRPr="002371D2" w:rsidRDefault="00920987" w:rsidP="00D0626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371D2">
              <w:rPr>
                <w:rFonts w:ascii="Arial" w:hAnsi="Arial" w:cs="Arial"/>
                <w:sz w:val="24"/>
                <w:szCs w:val="24"/>
                <w:lang w:eastAsia="es-ES"/>
              </w:rPr>
              <w:t>El derecho de acceso a la pública no incluye en su ámbito de protección la obligación por parte de la entidad pública de producir información preexistente a la solicitud</w:t>
            </w:r>
            <w:r w:rsidRPr="002371D2">
              <w:rPr>
                <w:rStyle w:val="Refdenotaalpie"/>
                <w:rFonts w:ascii="Arial" w:hAnsi="Arial" w:cs="Arial"/>
                <w:sz w:val="24"/>
                <w:szCs w:val="24"/>
                <w:lang w:eastAsia="es-ES"/>
              </w:rPr>
              <w:footnoteReference w:id="3"/>
            </w:r>
            <w:r w:rsidRPr="002371D2">
              <w:rPr>
                <w:rFonts w:ascii="Arial" w:hAnsi="Arial" w:cs="Arial"/>
                <w:sz w:val="24"/>
                <w:szCs w:val="24"/>
                <w:lang w:eastAsia="es-ES"/>
              </w:rPr>
              <w:t>.</w:t>
            </w:r>
          </w:p>
          <w:p w:rsidR="00920987" w:rsidRPr="002371D2" w:rsidRDefault="00920987" w:rsidP="00D0626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371D2">
              <w:rPr>
                <w:rFonts w:ascii="Arial" w:hAnsi="Arial" w:cs="Arial"/>
                <w:sz w:val="24"/>
                <w:szCs w:val="24"/>
                <w:lang w:eastAsia="es-ES"/>
              </w:rPr>
              <w:t>La entidad no se encuentra obligada a elaborar informes o pronunciamientos</w:t>
            </w:r>
            <w:r w:rsidRPr="002371D2">
              <w:rPr>
                <w:rStyle w:val="Refdenotaalpie"/>
                <w:rFonts w:ascii="Arial" w:hAnsi="Arial" w:cs="Arial"/>
                <w:sz w:val="24"/>
                <w:szCs w:val="24"/>
                <w:lang w:eastAsia="es-ES"/>
              </w:rPr>
              <w:footnoteReference w:id="4"/>
            </w:r>
            <w:r w:rsidRPr="002371D2">
              <w:rPr>
                <w:rFonts w:ascii="Arial" w:hAnsi="Arial" w:cs="Arial"/>
                <w:sz w:val="24"/>
                <w:szCs w:val="24"/>
                <w:lang w:eastAsia="es-ES"/>
              </w:rPr>
              <w:t>.</w:t>
            </w:r>
          </w:p>
          <w:p w:rsidR="00D0626C" w:rsidRPr="002371D2" w:rsidRDefault="00D0626C" w:rsidP="00D0626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371D2">
              <w:rPr>
                <w:rFonts w:ascii="Arial" w:eastAsia="Times New Roman" w:hAnsi="Arial" w:cs="Arial"/>
                <w:iCs/>
                <w:sz w:val="24"/>
                <w:szCs w:val="24"/>
              </w:rPr>
              <w:t>La declaración de inexistencia de información por</w:t>
            </w:r>
            <w:r w:rsidR="00AF4BBC" w:rsidRPr="002371D2">
              <w:rPr>
                <w:rFonts w:ascii="Arial" w:eastAsia="Times New Roman" w:hAnsi="Arial" w:cs="Arial"/>
                <w:iCs/>
                <w:sz w:val="24"/>
                <w:szCs w:val="24"/>
              </w:rPr>
              <w:t xml:space="preserve"> parte de la entidad</w:t>
            </w:r>
            <w:r w:rsidRPr="002371D2">
              <w:rPr>
                <w:rFonts w:ascii="Arial" w:eastAsia="Times New Roman" w:hAnsi="Arial" w:cs="Arial"/>
                <w:iCs/>
                <w:sz w:val="24"/>
                <w:szCs w:val="24"/>
              </w:rPr>
              <w:t xml:space="preserve"> se presume válida hasta que se demuestre lo contrario</w:t>
            </w:r>
            <w:r w:rsidRPr="002371D2">
              <w:rPr>
                <w:rStyle w:val="Refdenotaalpie"/>
                <w:rFonts w:ascii="Arial" w:eastAsia="Times New Roman" w:hAnsi="Arial" w:cs="Arial"/>
                <w:iCs/>
                <w:sz w:val="24"/>
                <w:szCs w:val="24"/>
              </w:rPr>
              <w:footnoteReference w:id="5"/>
            </w:r>
            <w:r w:rsidRPr="002371D2">
              <w:rPr>
                <w:rFonts w:ascii="Arial" w:eastAsia="Times New Roman" w:hAnsi="Arial" w:cs="Arial"/>
                <w:iCs/>
                <w:sz w:val="24"/>
                <w:szCs w:val="24"/>
              </w:rPr>
              <w:t>.</w:t>
            </w:r>
          </w:p>
          <w:p w:rsidR="005C67A0" w:rsidRPr="002371D2" w:rsidRDefault="00920987" w:rsidP="005C67A0">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371D2">
              <w:rPr>
                <w:rFonts w:ascii="Arial" w:eastAsia="Times New Roman" w:hAnsi="Arial" w:cs="Arial"/>
                <w:iCs/>
                <w:sz w:val="24"/>
                <w:szCs w:val="24"/>
              </w:rPr>
              <w:t>La falta de sistematización de la información no es causal para denegar un pedido de información</w:t>
            </w:r>
            <w:r w:rsidRPr="002371D2">
              <w:rPr>
                <w:rStyle w:val="Refdenotaalpie"/>
                <w:rFonts w:ascii="Arial" w:eastAsia="Times New Roman" w:hAnsi="Arial" w:cs="Arial"/>
                <w:iCs/>
                <w:sz w:val="24"/>
                <w:szCs w:val="24"/>
              </w:rPr>
              <w:footnoteReference w:id="6"/>
            </w:r>
            <w:r w:rsidRPr="002371D2">
              <w:rPr>
                <w:rFonts w:ascii="Arial" w:eastAsia="Times New Roman" w:hAnsi="Arial" w:cs="Arial"/>
                <w:iCs/>
                <w:sz w:val="24"/>
                <w:szCs w:val="24"/>
              </w:rPr>
              <w:t>.</w:t>
            </w:r>
          </w:p>
          <w:p w:rsidR="005C67A0" w:rsidRPr="002371D2" w:rsidRDefault="005C67A0" w:rsidP="005C67A0">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371D2">
              <w:rPr>
                <w:rFonts w:ascii="Arial" w:eastAsia="Times New Roman" w:hAnsi="Arial" w:cs="Arial"/>
                <w:iCs/>
                <w:sz w:val="24"/>
                <w:szCs w:val="24"/>
              </w:rPr>
              <w:t xml:space="preserve">La entidad se encuentra obligada  </w:t>
            </w:r>
            <w:r w:rsidRPr="002371D2">
              <w:rPr>
                <w:rFonts w:ascii="Arial" w:hAnsi="Arial" w:cs="Arial"/>
                <w:sz w:val="24"/>
                <w:szCs w:val="24"/>
              </w:rPr>
              <w:t>a entregar la información que, sin poseerla físicamente, le es atribuible por razón del desempeño propio de sus funciones o de su posición privilegiada frente al requerimiento que se le hace</w:t>
            </w:r>
            <w:r w:rsidRPr="002371D2">
              <w:rPr>
                <w:rStyle w:val="Refdenotaalpie"/>
                <w:rFonts w:ascii="Arial" w:hAnsi="Arial" w:cs="Arial"/>
                <w:sz w:val="24"/>
                <w:szCs w:val="24"/>
              </w:rPr>
              <w:footnoteReference w:id="7"/>
            </w:r>
            <w:r w:rsidRPr="002371D2">
              <w:rPr>
                <w:rFonts w:ascii="Arial" w:hAnsi="Arial" w:cs="Arial"/>
                <w:sz w:val="24"/>
                <w:szCs w:val="24"/>
              </w:rPr>
              <w:t>.</w:t>
            </w:r>
          </w:p>
          <w:p w:rsidR="005C67A0" w:rsidRPr="00D0626C" w:rsidRDefault="005C67A0" w:rsidP="005C67A0">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371D2">
              <w:rPr>
                <w:rFonts w:ascii="Arial" w:hAnsi="Arial" w:cs="Arial"/>
                <w:sz w:val="24"/>
                <w:szCs w:val="24"/>
              </w:rPr>
              <w:t>La entidad puede elaborar documentos con la información solicitada citando su origen, sin emitir valoraciones ni juicios, sin que esto signifique crear o producir información</w:t>
            </w:r>
            <w:r w:rsidRPr="002371D2">
              <w:rPr>
                <w:rStyle w:val="Refdenotaalpie"/>
                <w:rFonts w:ascii="Arial" w:hAnsi="Arial" w:cs="Arial"/>
                <w:sz w:val="24"/>
                <w:szCs w:val="24"/>
              </w:rPr>
              <w:footnoteReference w:id="8"/>
            </w:r>
            <w:r w:rsidRPr="002371D2">
              <w:rPr>
                <w:rFonts w:ascii="Arial" w:hAnsi="Arial" w:cs="Arial"/>
                <w:sz w:val="24"/>
                <w:szCs w:val="24"/>
              </w:rPr>
              <w:t>.</w:t>
            </w:r>
          </w:p>
        </w:tc>
      </w:tr>
    </w:tbl>
    <w:p w:rsidR="00522F6E" w:rsidRPr="008F4832" w:rsidRDefault="00522F6E" w:rsidP="008F4832">
      <w:pPr>
        <w:pStyle w:val="Prrafodelista"/>
        <w:spacing w:after="0"/>
        <w:jc w:val="both"/>
        <w:rPr>
          <w:rFonts w:ascii="Arial" w:hAnsi="Arial" w:cs="Arial"/>
          <w:b/>
          <w:sz w:val="24"/>
          <w:szCs w:val="24"/>
        </w:rPr>
      </w:pPr>
    </w:p>
    <w:p w:rsidR="004B612B" w:rsidRPr="008F4832" w:rsidRDefault="004B612B" w:rsidP="008F4832">
      <w:pPr>
        <w:spacing w:after="0"/>
        <w:jc w:val="both"/>
        <w:rPr>
          <w:rFonts w:ascii="Arial" w:hAnsi="Arial" w:cs="Arial"/>
          <w:sz w:val="24"/>
          <w:szCs w:val="24"/>
        </w:rPr>
      </w:pPr>
    </w:p>
    <w:p w:rsidR="00E131FB" w:rsidRPr="008F4832" w:rsidRDefault="00E131FB" w:rsidP="008F4832">
      <w:pPr>
        <w:pStyle w:val="Prrafodelista"/>
        <w:numPr>
          <w:ilvl w:val="0"/>
          <w:numId w:val="1"/>
        </w:numPr>
        <w:spacing w:after="0"/>
        <w:jc w:val="both"/>
        <w:rPr>
          <w:rFonts w:ascii="Arial" w:hAnsi="Arial" w:cs="Arial"/>
          <w:b/>
          <w:sz w:val="24"/>
          <w:szCs w:val="24"/>
        </w:rPr>
      </w:pPr>
      <w:r w:rsidRPr="008F4832">
        <w:rPr>
          <w:rFonts w:ascii="Arial" w:hAnsi="Arial" w:cs="Arial"/>
          <w:b/>
          <w:sz w:val="24"/>
          <w:szCs w:val="24"/>
        </w:rPr>
        <w:t>Procedimiento para las conclusiones</w:t>
      </w:r>
      <w:r w:rsidR="0033282F" w:rsidRPr="008F4832">
        <w:rPr>
          <w:rFonts w:ascii="Arial" w:hAnsi="Arial" w:cs="Arial"/>
          <w:b/>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RTA</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097BDE" w:rsidP="008F4832">
      <w:pPr>
        <w:spacing w:after="0"/>
        <w:jc w:val="both"/>
        <w:rPr>
          <w:rFonts w:ascii="Arial" w:hAnsi="Arial" w:cs="Arial"/>
          <w:sz w:val="24"/>
          <w:szCs w:val="24"/>
        </w:rPr>
      </w:pPr>
      <w:r w:rsidRPr="008F4832">
        <w:rPr>
          <w:rFonts w:ascii="Arial" w:hAnsi="Arial" w:cs="Arial"/>
          <w:sz w:val="24"/>
          <w:szCs w:val="24"/>
        </w:rPr>
        <w:t>Desde el INAI</w:t>
      </w:r>
      <w:r w:rsidR="00882082" w:rsidRPr="008F4832">
        <w:rPr>
          <w:rFonts w:ascii="Arial" w:hAnsi="Arial" w:cs="Arial"/>
          <w:sz w:val="24"/>
          <w:szCs w:val="24"/>
        </w:rPr>
        <w:t>, al ser el</w:t>
      </w:r>
      <w:r w:rsidRPr="008F4832">
        <w:rPr>
          <w:rFonts w:ascii="Arial" w:hAnsi="Arial" w:cs="Arial"/>
          <w:sz w:val="24"/>
          <w:szCs w:val="24"/>
        </w:rPr>
        <w:t xml:space="preserve"> moderador del debate</w:t>
      </w:r>
      <w:r w:rsidR="00F617EE" w:rsidRPr="008F4832">
        <w:rPr>
          <w:rFonts w:ascii="Arial" w:hAnsi="Arial" w:cs="Arial"/>
          <w:sz w:val="24"/>
          <w:szCs w:val="24"/>
        </w:rPr>
        <w:t>,</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previamente enviará a los países miembros para </w:t>
      </w:r>
      <w:r w:rsidR="005E04AA" w:rsidRPr="008F4832">
        <w:rPr>
          <w:rFonts w:ascii="Arial" w:hAnsi="Arial" w:cs="Arial"/>
          <w:sz w:val="24"/>
          <w:szCs w:val="24"/>
        </w:rPr>
        <w:t>reflejar la posición que tiene el grupo en ese tema</w:t>
      </w:r>
      <w:r w:rsidR="00882082" w:rsidRPr="008F4832">
        <w:rPr>
          <w:rFonts w:ascii="Arial" w:hAnsi="Arial" w:cs="Arial"/>
          <w:sz w:val="24"/>
          <w:szCs w:val="24"/>
        </w:rPr>
        <w:t xml:space="preserve">. </w:t>
      </w:r>
    </w:p>
    <w:p w:rsidR="0033282F" w:rsidRPr="008F4832" w:rsidRDefault="0033282F" w:rsidP="008F4832">
      <w:pPr>
        <w:spacing w:after="0"/>
        <w:ind w:left="360"/>
        <w:jc w:val="both"/>
        <w:rPr>
          <w:rFonts w:ascii="Arial" w:hAnsi="Arial" w:cs="Arial"/>
          <w:b/>
          <w:sz w:val="24"/>
          <w:szCs w:val="24"/>
        </w:rPr>
      </w:pP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882082" w:rsidP="008F4832">
            <w:pPr>
              <w:jc w:val="center"/>
              <w:rPr>
                <w:rFonts w:ascii="Arial" w:eastAsia="Times New Roman" w:hAnsi="Arial" w:cs="Arial"/>
                <w:b w:val="0"/>
                <w:iCs/>
                <w:sz w:val="24"/>
                <w:szCs w:val="24"/>
              </w:rPr>
            </w:pPr>
            <w:r w:rsidRPr="008F4832">
              <w:rPr>
                <w:rFonts w:ascii="Arial" w:eastAsia="Calibri" w:hAnsi="Arial" w:cs="Arial"/>
                <w:sz w:val="24"/>
                <w:szCs w:val="24"/>
                <w:lang w:val="es-MX"/>
              </w:rPr>
              <w:t>“…” (Tema</w:t>
            </w:r>
            <w:r w:rsidR="005E04AA" w:rsidRPr="008F4832">
              <w:rPr>
                <w:rFonts w:ascii="Arial" w:eastAsia="Calibri" w:hAnsi="Arial" w:cs="Arial"/>
                <w:sz w:val="24"/>
                <w:szCs w:val="24"/>
                <w:lang w:val="es-MX"/>
              </w:rPr>
              <w:t xml:space="preserve"> y subtema</w:t>
            </w:r>
            <w:r w:rsidRPr="008F4832">
              <w:rPr>
                <w:rFonts w:ascii="Arial" w:eastAsia="Calibri" w:hAnsi="Arial" w:cs="Arial"/>
                <w:sz w:val="24"/>
                <w:szCs w:val="24"/>
                <w:lang w:val="es-MX"/>
              </w:rPr>
              <w:t>)</w:t>
            </w:r>
          </w:p>
        </w:tc>
      </w:tr>
      <w:tr w:rsidR="00882082"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Conclusiones por País</w:t>
            </w:r>
          </w:p>
        </w:tc>
        <w:tc>
          <w:tcPr>
            <w:tcW w:w="3834" w:type="pct"/>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F617EE"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Criterio Propuesto</w:t>
            </w:r>
          </w:p>
          <w:p w:rsidR="00882082" w:rsidRPr="008F4832" w:rsidRDefault="00F617EE" w:rsidP="008F4832">
            <w:pPr>
              <w:jc w:val="center"/>
              <w:rPr>
                <w:rFonts w:ascii="Arial" w:eastAsia="Calibri" w:hAnsi="Arial" w:cs="Arial"/>
                <w:sz w:val="24"/>
                <w:szCs w:val="24"/>
                <w:lang w:val="es-MX"/>
              </w:rPr>
            </w:pPr>
            <w:r w:rsidRPr="008F4832">
              <w:rPr>
                <w:rFonts w:ascii="Arial" w:eastAsia="Calibri" w:hAnsi="Arial" w:cs="Arial"/>
                <w:sz w:val="24"/>
                <w:szCs w:val="24"/>
                <w:lang w:val="es-MX"/>
              </w:rPr>
              <w:t>(Conclusión para el Grupo)</w:t>
            </w:r>
          </w:p>
        </w:tc>
        <w:tc>
          <w:tcPr>
            <w:tcW w:w="3834" w:type="pct"/>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EA" w:rsidRDefault="00A661EA" w:rsidP="00EA0739">
      <w:pPr>
        <w:spacing w:after="0" w:line="240" w:lineRule="auto"/>
      </w:pPr>
      <w:r>
        <w:separator/>
      </w:r>
    </w:p>
  </w:endnote>
  <w:endnote w:type="continuationSeparator" w:id="0">
    <w:p w:rsidR="00A661EA" w:rsidRDefault="00A661EA" w:rsidP="00EA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EA" w:rsidRDefault="00A661EA" w:rsidP="00EA0739">
      <w:pPr>
        <w:spacing w:after="0" w:line="240" w:lineRule="auto"/>
      </w:pPr>
      <w:r>
        <w:separator/>
      </w:r>
    </w:p>
  </w:footnote>
  <w:footnote w:type="continuationSeparator" w:id="0">
    <w:p w:rsidR="00A661EA" w:rsidRDefault="00A661EA" w:rsidP="00EA0739">
      <w:pPr>
        <w:spacing w:after="0" w:line="240" w:lineRule="auto"/>
      </w:pPr>
      <w:r>
        <w:continuationSeparator/>
      </w:r>
    </w:p>
  </w:footnote>
  <w:footnote w:id="1">
    <w:p w:rsidR="0089173F" w:rsidRPr="00F6308B" w:rsidRDefault="0089173F" w:rsidP="005C67A0">
      <w:pPr>
        <w:pStyle w:val="Textonotapie"/>
        <w:jc w:val="both"/>
        <w:rPr>
          <w:rFonts w:ascii="Arial" w:hAnsi="Arial" w:cs="Arial"/>
          <w:sz w:val="18"/>
          <w:szCs w:val="18"/>
        </w:rPr>
      </w:pPr>
      <w:r w:rsidRPr="00F6308B">
        <w:rPr>
          <w:rStyle w:val="Refdenotaalpie"/>
          <w:rFonts w:ascii="Arial" w:hAnsi="Arial" w:cs="Arial"/>
          <w:sz w:val="18"/>
          <w:szCs w:val="18"/>
        </w:rPr>
        <w:footnoteRef/>
      </w:r>
      <w:r w:rsidRPr="00F6308B">
        <w:rPr>
          <w:rFonts w:ascii="Arial" w:hAnsi="Arial" w:cs="Arial"/>
          <w:sz w:val="18"/>
          <w:szCs w:val="18"/>
        </w:rPr>
        <w:t xml:space="preserve"> Documento elaborado el </w:t>
      </w:r>
      <w:r w:rsidR="00356E60">
        <w:rPr>
          <w:rFonts w:ascii="Arial" w:hAnsi="Arial" w:cs="Arial"/>
          <w:sz w:val="18"/>
          <w:szCs w:val="18"/>
        </w:rPr>
        <w:t>14</w:t>
      </w:r>
      <w:r w:rsidRPr="00F6308B">
        <w:rPr>
          <w:rFonts w:ascii="Arial" w:hAnsi="Arial" w:cs="Arial"/>
          <w:sz w:val="18"/>
          <w:szCs w:val="18"/>
        </w:rPr>
        <w:t xml:space="preserve"> de</w:t>
      </w:r>
      <w:r w:rsidR="00C178ED">
        <w:rPr>
          <w:rFonts w:ascii="Arial" w:hAnsi="Arial" w:cs="Arial"/>
          <w:sz w:val="18"/>
          <w:szCs w:val="18"/>
        </w:rPr>
        <w:t xml:space="preserve"> diciembre </w:t>
      </w:r>
      <w:r w:rsidRPr="00F6308B">
        <w:rPr>
          <w:rFonts w:ascii="Arial" w:hAnsi="Arial" w:cs="Arial"/>
          <w:sz w:val="18"/>
          <w:szCs w:val="18"/>
        </w:rPr>
        <w:t>de 2015.</w:t>
      </w:r>
    </w:p>
  </w:footnote>
  <w:footnote w:id="2">
    <w:p w:rsidR="003A1E2C" w:rsidRPr="00C0728E" w:rsidRDefault="003A1E2C" w:rsidP="00F6308B">
      <w:pPr>
        <w:pStyle w:val="Textonotapie"/>
        <w:jc w:val="both"/>
        <w:rPr>
          <w:rFonts w:ascii="Arial" w:hAnsi="Arial" w:cs="Arial"/>
          <w:sz w:val="18"/>
          <w:szCs w:val="18"/>
          <w:lang w:val="pt-BR"/>
        </w:rPr>
      </w:pPr>
      <w:r w:rsidRPr="00F6308B">
        <w:rPr>
          <w:rStyle w:val="Refdenotaalpie"/>
          <w:rFonts w:ascii="Arial" w:hAnsi="Arial" w:cs="Arial"/>
          <w:sz w:val="18"/>
          <w:szCs w:val="18"/>
        </w:rPr>
        <w:footnoteRef/>
      </w:r>
      <w:r w:rsidRPr="00F6308B">
        <w:rPr>
          <w:rFonts w:ascii="Arial" w:hAnsi="Arial" w:cs="Arial"/>
          <w:sz w:val="18"/>
          <w:szCs w:val="18"/>
        </w:rPr>
        <w:t xml:space="preserve"> TRIBUNAL CONSTITUCIONAL DEL PERÚ. Sentencia recaída en el Exp. </w:t>
      </w:r>
      <w:r w:rsidRPr="00C0728E">
        <w:rPr>
          <w:rFonts w:ascii="Arial" w:hAnsi="Arial" w:cs="Arial"/>
          <w:sz w:val="18"/>
          <w:szCs w:val="18"/>
          <w:lang w:val="pt-BR"/>
        </w:rPr>
        <w:t>Nº 4739-2011-HD, Exp. Nº 1877-2011-HD, Exp. Nº 5589-2009-HD, Exp. Nº 2512-2009-HD, Exp. Nº 0441-2012-HD, Exp. Nº 5178-2011-HD, Exp. Nº 3598-2011-HD, Exp. Nº 1352-2011-HD, entre otros.</w:t>
      </w:r>
    </w:p>
  </w:footnote>
  <w:footnote w:id="3">
    <w:p w:rsidR="00920987" w:rsidRPr="00F6308B" w:rsidRDefault="00920987" w:rsidP="005C67A0">
      <w:pPr>
        <w:pStyle w:val="Textonotapie"/>
        <w:jc w:val="both"/>
        <w:rPr>
          <w:rFonts w:ascii="Arial" w:hAnsi="Arial" w:cs="Arial"/>
          <w:sz w:val="18"/>
          <w:szCs w:val="18"/>
        </w:rPr>
      </w:pPr>
      <w:r w:rsidRPr="00F6308B">
        <w:rPr>
          <w:rStyle w:val="Refdenotaalpie"/>
          <w:rFonts w:ascii="Arial" w:hAnsi="Arial" w:cs="Arial"/>
          <w:sz w:val="18"/>
          <w:szCs w:val="18"/>
        </w:rPr>
        <w:footnoteRef/>
      </w:r>
      <w:r w:rsidRPr="00F6308B">
        <w:rPr>
          <w:rFonts w:ascii="Arial" w:hAnsi="Arial" w:cs="Arial"/>
          <w:sz w:val="18"/>
          <w:szCs w:val="18"/>
        </w:rPr>
        <w:t xml:space="preserve"> Tribunal Constitucional. Sentencia recaída en el Expediente Nº 04739-2011-PHD/TC. Fundamentos jurídicos 5 y 6</w:t>
      </w:r>
    </w:p>
  </w:footnote>
  <w:footnote w:id="4">
    <w:p w:rsidR="00920987" w:rsidRPr="00F6308B" w:rsidRDefault="00920987" w:rsidP="005C67A0">
      <w:pPr>
        <w:pStyle w:val="Textonotapie"/>
        <w:jc w:val="both"/>
        <w:rPr>
          <w:rFonts w:ascii="Arial" w:hAnsi="Arial" w:cs="Arial"/>
          <w:sz w:val="18"/>
          <w:szCs w:val="18"/>
        </w:rPr>
      </w:pPr>
      <w:r w:rsidRPr="00F6308B">
        <w:rPr>
          <w:rStyle w:val="Refdenotaalpie"/>
          <w:rFonts w:ascii="Arial" w:hAnsi="Arial" w:cs="Arial"/>
          <w:sz w:val="18"/>
          <w:szCs w:val="18"/>
        </w:rPr>
        <w:footnoteRef/>
      </w:r>
      <w:r w:rsidRPr="00F6308B">
        <w:rPr>
          <w:rFonts w:ascii="Arial" w:hAnsi="Arial" w:cs="Arial"/>
          <w:sz w:val="18"/>
          <w:szCs w:val="18"/>
        </w:rPr>
        <w:t xml:space="preserve"> Tribunal Constitucional. Sentencia recaída en el Expediente Nº 04739-2011-PHD/TC. Fundamento jurídico 6.</w:t>
      </w:r>
    </w:p>
  </w:footnote>
  <w:footnote w:id="5">
    <w:p w:rsidR="00D0626C" w:rsidRPr="00F6308B" w:rsidRDefault="00D0626C" w:rsidP="005C67A0">
      <w:pPr>
        <w:pStyle w:val="Textonotapie"/>
        <w:jc w:val="both"/>
        <w:rPr>
          <w:rFonts w:ascii="Arial" w:hAnsi="Arial" w:cs="Arial"/>
          <w:sz w:val="18"/>
          <w:szCs w:val="18"/>
        </w:rPr>
      </w:pPr>
      <w:r w:rsidRPr="00F6308B">
        <w:rPr>
          <w:rStyle w:val="Refdenotaalpie"/>
          <w:rFonts w:ascii="Arial" w:hAnsi="Arial" w:cs="Arial"/>
          <w:sz w:val="18"/>
          <w:szCs w:val="18"/>
        </w:rPr>
        <w:footnoteRef/>
      </w:r>
      <w:r w:rsidRPr="00F6308B">
        <w:rPr>
          <w:rFonts w:ascii="Arial" w:hAnsi="Arial" w:cs="Arial"/>
          <w:sz w:val="18"/>
          <w:szCs w:val="18"/>
        </w:rPr>
        <w:t xml:space="preserve"> TRIBUNAL CONSTITUCIONAL. Sentencia recaída en el Exp. Nº 05104-2011-PHD/TC. Fundamento jurídico 8.</w:t>
      </w:r>
    </w:p>
  </w:footnote>
  <w:footnote w:id="6">
    <w:p w:rsidR="00920987" w:rsidRPr="00C0728E" w:rsidRDefault="00920987" w:rsidP="005C67A0">
      <w:pPr>
        <w:pStyle w:val="Textonotapie"/>
        <w:jc w:val="both"/>
        <w:rPr>
          <w:rFonts w:ascii="Arial" w:hAnsi="Arial" w:cs="Arial"/>
          <w:sz w:val="18"/>
          <w:szCs w:val="18"/>
          <w:lang w:val="pt-BR"/>
        </w:rPr>
      </w:pPr>
      <w:r w:rsidRPr="00F6308B">
        <w:rPr>
          <w:rStyle w:val="Refdenotaalpie"/>
          <w:rFonts w:ascii="Arial" w:hAnsi="Arial" w:cs="Arial"/>
          <w:sz w:val="18"/>
          <w:szCs w:val="18"/>
        </w:rPr>
        <w:footnoteRef/>
      </w:r>
      <w:r w:rsidRPr="00F6308B">
        <w:rPr>
          <w:rFonts w:ascii="Arial" w:hAnsi="Arial" w:cs="Arial"/>
          <w:sz w:val="18"/>
          <w:szCs w:val="18"/>
        </w:rPr>
        <w:t xml:space="preserve"> TRIBUNAL CONSTITUCIONAL. Sentencia recaída en el Exp. </w:t>
      </w:r>
      <w:r w:rsidRPr="00C0728E">
        <w:rPr>
          <w:rFonts w:ascii="Arial" w:hAnsi="Arial" w:cs="Arial"/>
          <w:sz w:val="18"/>
          <w:szCs w:val="18"/>
          <w:lang w:val="pt-BR"/>
        </w:rPr>
        <w:t>Nº 02213 2012-PHD/TC. Fundamento jurídico 14.</w:t>
      </w:r>
    </w:p>
  </w:footnote>
  <w:footnote w:id="7">
    <w:p w:rsidR="005C67A0" w:rsidRPr="00F6308B" w:rsidRDefault="005C67A0" w:rsidP="005C67A0">
      <w:pPr>
        <w:pStyle w:val="Textonotapie"/>
        <w:jc w:val="both"/>
        <w:rPr>
          <w:rFonts w:ascii="Arial" w:hAnsi="Arial" w:cs="Arial"/>
          <w:sz w:val="18"/>
          <w:szCs w:val="18"/>
        </w:rPr>
      </w:pPr>
      <w:r w:rsidRPr="00F6308B">
        <w:rPr>
          <w:rStyle w:val="Refdenotaalpie"/>
          <w:rFonts w:ascii="Arial" w:hAnsi="Arial" w:cs="Arial"/>
          <w:sz w:val="18"/>
          <w:szCs w:val="18"/>
        </w:rPr>
        <w:footnoteRef/>
      </w:r>
      <w:r w:rsidRPr="00F6308B">
        <w:rPr>
          <w:rFonts w:ascii="Arial" w:hAnsi="Arial" w:cs="Arial"/>
          <w:sz w:val="18"/>
          <w:szCs w:val="18"/>
        </w:rPr>
        <w:t xml:space="preserve"> Tribunal Constitucional. Sentencia recaída en el Expediente Nº 5173-2011-PHD/TC, Fundamento jurídico 6. Ver también la sentencia recaída en Expediente Nº 07440-2005-PDH/TC, Fundamento jurídico 7.</w:t>
      </w:r>
    </w:p>
  </w:footnote>
  <w:footnote w:id="8">
    <w:p w:rsidR="005C67A0" w:rsidRPr="00F6308B" w:rsidRDefault="005C67A0" w:rsidP="005C67A0">
      <w:pPr>
        <w:pStyle w:val="Textonotapie"/>
        <w:jc w:val="both"/>
        <w:rPr>
          <w:rFonts w:ascii="Arial" w:hAnsi="Arial" w:cs="Arial"/>
          <w:sz w:val="18"/>
          <w:szCs w:val="18"/>
        </w:rPr>
      </w:pPr>
      <w:r w:rsidRPr="00F6308B">
        <w:rPr>
          <w:rStyle w:val="Refdenotaalpie"/>
          <w:rFonts w:ascii="Arial" w:hAnsi="Arial" w:cs="Arial"/>
          <w:sz w:val="18"/>
          <w:szCs w:val="18"/>
        </w:rPr>
        <w:footnoteRef/>
      </w:r>
      <w:r w:rsidRPr="00F6308B">
        <w:rPr>
          <w:rFonts w:ascii="Arial" w:hAnsi="Arial" w:cs="Arial"/>
          <w:sz w:val="18"/>
          <w:szCs w:val="18"/>
        </w:rPr>
        <w:t xml:space="preserve"> Tribunal Constitucional. Sentencia recaída en el Expediente Nº 03598-2011-PHD/TC. Fundamento jurídico 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707C"/>
    <w:multiLevelType w:val="hybridMultilevel"/>
    <w:tmpl w:val="222C3F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96968C2"/>
    <w:multiLevelType w:val="hybridMultilevel"/>
    <w:tmpl w:val="4888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543A6E"/>
    <w:multiLevelType w:val="hybridMultilevel"/>
    <w:tmpl w:val="8EEC8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31FB"/>
    <w:rsid w:val="00042F29"/>
    <w:rsid w:val="000478B8"/>
    <w:rsid w:val="000578F8"/>
    <w:rsid w:val="00094847"/>
    <w:rsid w:val="00097BDE"/>
    <w:rsid w:val="000F4F45"/>
    <w:rsid w:val="001343BE"/>
    <w:rsid w:val="00191EDB"/>
    <w:rsid w:val="001B2A1A"/>
    <w:rsid w:val="001F1D8B"/>
    <w:rsid w:val="0022091D"/>
    <w:rsid w:val="002371D2"/>
    <w:rsid w:val="0025344C"/>
    <w:rsid w:val="00290567"/>
    <w:rsid w:val="002A07B8"/>
    <w:rsid w:val="00330D28"/>
    <w:rsid w:val="0033112F"/>
    <w:rsid w:val="0033282F"/>
    <w:rsid w:val="00356E60"/>
    <w:rsid w:val="00362AE8"/>
    <w:rsid w:val="0039462F"/>
    <w:rsid w:val="003A1E2C"/>
    <w:rsid w:val="003A596B"/>
    <w:rsid w:val="003D5D51"/>
    <w:rsid w:val="00400BCC"/>
    <w:rsid w:val="004062C2"/>
    <w:rsid w:val="004633C9"/>
    <w:rsid w:val="00486A8A"/>
    <w:rsid w:val="004B612B"/>
    <w:rsid w:val="00521672"/>
    <w:rsid w:val="00522F6E"/>
    <w:rsid w:val="00551608"/>
    <w:rsid w:val="0058294F"/>
    <w:rsid w:val="005941F2"/>
    <w:rsid w:val="005C67A0"/>
    <w:rsid w:val="005D1E86"/>
    <w:rsid w:val="005E04AA"/>
    <w:rsid w:val="00605349"/>
    <w:rsid w:val="00613513"/>
    <w:rsid w:val="006561C9"/>
    <w:rsid w:val="006644FD"/>
    <w:rsid w:val="006720BA"/>
    <w:rsid w:val="00677492"/>
    <w:rsid w:val="00690947"/>
    <w:rsid w:val="006A258B"/>
    <w:rsid w:val="006E5B0C"/>
    <w:rsid w:val="00787100"/>
    <w:rsid w:val="00792363"/>
    <w:rsid w:val="00794E65"/>
    <w:rsid w:val="007D235C"/>
    <w:rsid w:val="00882082"/>
    <w:rsid w:val="00887D30"/>
    <w:rsid w:val="0089173F"/>
    <w:rsid w:val="008A3440"/>
    <w:rsid w:val="008E056E"/>
    <w:rsid w:val="008F4832"/>
    <w:rsid w:val="00920987"/>
    <w:rsid w:val="00970F79"/>
    <w:rsid w:val="009760E6"/>
    <w:rsid w:val="009E4526"/>
    <w:rsid w:val="009E4EBE"/>
    <w:rsid w:val="00A03EC7"/>
    <w:rsid w:val="00A27E14"/>
    <w:rsid w:val="00A661EA"/>
    <w:rsid w:val="00A7586C"/>
    <w:rsid w:val="00A801E3"/>
    <w:rsid w:val="00AC7955"/>
    <w:rsid w:val="00AF4BBC"/>
    <w:rsid w:val="00B30202"/>
    <w:rsid w:val="00B927E9"/>
    <w:rsid w:val="00BE48CC"/>
    <w:rsid w:val="00C0728E"/>
    <w:rsid w:val="00C178ED"/>
    <w:rsid w:val="00C32DF3"/>
    <w:rsid w:val="00CB058C"/>
    <w:rsid w:val="00CB3B99"/>
    <w:rsid w:val="00CC5CE6"/>
    <w:rsid w:val="00D0626C"/>
    <w:rsid w:val="00D572AB"/>
    <w:rsid w:val="00D96576"/>
    <w:rsid w:val="00DA010E"/>
    <w:rsid w:val="00DA2133"/>
    <w:rsid w:val="00DB79E8"/>
    <w:rsid w:val="00DD1575"/>
    <w:rsid w:val="00E131FB"/>
    <w:rsid w:val="00E23674"/>
    <w:rsid w:val="00E554A1"/>
    <w:rsid w:val="00EA0739"/>
    <w:rsid w:val="00EB6428"/>
    <w:rsid w:val="00F368BA"/>
    <w:rsid w:val="00F617EE"/>
    <w:rsid w:val="00F6308B"/>
    <w:rsid w:val="00FD13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semiHidden/>
    <w:unhideWhenUsed/>
    <w:rsid w:val="00EA07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0739"/>
  </w:style>
  <w:style w:type="paragraph" w:styleId="Piedepgina">
    <w:name w:val="footer"/>
    <w:basedOn w:val="Normal"/>
    <w:link w:val="PiedepginaCar"/>
    <w:uiPriority w:val="99"/>
    <w:semiHidden/>
    <w:unhideWhenUsed/>
    <w:rsid w:val="00EA07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0739"/>
  </w:style>
  <w:style w:type="paragraph" w:styleId="Textonotapie">
    <w:name w:val="footnote text"/>
    <w:aliases w:val="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89173F"/>
    <w:pPr>
      <w:spacing w:after="0" w:line="240" w:lineRule="auto"/>
    </w:pPr>
    <w:rPr>
      <w:sz w:val="20"/>
      <w:szCs w:val="20"/>
    </w:rPr>
  </w:style>
  <w:style w:type="character" w:customStyle="1" w:styleId="TextonotapieCar">
    <w:name w:val="Texto nota pie Car"/>
    <w:aliases w:val="NOTA AL PIE TESIS PUCP Car,Footnote Text Char Char Char Char Char Car,Footnote Text Char Char Char Char Car,Footnote reference Car,FA Fu Car,Footnote Text Char Char Char Car,Footnote Text Cha Car,FA Fußnotentext Car"/>
    <w:basedOn w:val="Fuentedeprrafopredeter"/>
    <w:link w:val="Textonotapie"/>
    <w:uiPriority w:val="99"/>
    <w:rsid w:val="0089173F"/>
    <w:rPr>
      <w:sz w:val="20"/>
      <w:szCs w:val="20"/>
    </w:rPr>
  </w:style>
  <w:style w:type="character" w:styleId="Refdenotaalpie">
    <w:name w:val="footnote reference"/>
    <w:basedOn w:val="Fuentedeprrafopredeter"/>
    <w:uiPriority w:val="99"/>
    <w:semiHidden/>
    <w:unhideWhenUsed/>
    <w:rsid w:val="008917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842562D0-767C-45D6-BC64-8DBB35AA35B0}"/>
</file>

<file path=customXml/itemProps2.xml><?xml version="1.0" encoding="utf-8"?>
<ds:datastoreItem xmlns:ds="http://schemas.openxmlformats.org/officeDocument/2006/customXml" ds:itemID="{3F6D4B95-D55D-4896-9921-3FAB7790D385}"/>
</file>

<file path=customXml/itemProps3.xml><?xml version="1.0" encoding="utf-8"?>
<ds:datastoreItem xmlns:ds="http://schemas.openxmlformats.org/officeDocument/2006/customXml" ds:itemID="{F871BF0F-8148-4029-92A6-EA7F45821D30}"/>
</file>

<file path=customXml/itemProps4.xml><?xml version="1.0" encoding="utf-8"?>
<ds:datastoreItem xmlns:ds="http://schemas.openxmlformats.org/officeDocument/2006/customXml" ds:itemID="{D6F80423-0564-4EDA-A7E2-C2A6F1974CD2}"/>
</file>

<file path=docProps/app.xml><?xml version="1.0" encoding="utf-8"?>
<Properties xmlns="http://schemas.openxmlformats.org/officeDocument/2006/extended-properties" xmlns:vt="http://schemas.openxmlformats.org/officeDocument/2006/docPropsVTypes">
  <Template>Normal</Template>
  <TotalTime>864</TotalTime>
  <Pages>3</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Miguel Christophe Molina Alcántara</cp:lastModifiedBy>
  <cp:revision>35</cp:revision>
  <cp:lastPrinted>2015-11-23T17:16:00Z</cp:lastPrinted>
  <dcterms:created xsi:type="dcterms:W3CDTF">2015-11-26T16:41:00Z</dcterms:created>
  <dcterms:modified xsi:type="dcterms:W3CDTF">2015-12-16T01:02:00Z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