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EE" w:rsidRPr="008A5309" w:rsidRDefault="008A5309" w:rsidP="00AC7955">
      <w:pPr>
        <w:spacing w:after="0" w:line="240" w:lineRule="auto"/>
        <w:jc w:val="center"/>
        <w:rPr>
          <w:rStyle w:val="Ttulodellibro"/>
          <w:rFonts w:ascii="Palatino Linotype" w:hAnsi="Palatino Linotype"/>
          <w:sz w:val="24"/>
          <w:szCs w:val="24"/>
        </w:rPr>
      </w:pPr>
      <w:r>
        <w:rPr>
          <w:rStyle w:val="Ttulodellibro"/>
          <w:rFonts w:ascii="Palatino Linotype" w:hAnsi="Palatino Linotype"/>
          <w:sz w:val="24"/>
          <w:szCs w:val="24"/>
        </w:rPr>
        <w:t>Segundo</w:t>
      </w:r>
      <w:r w:rsidR="00AC7955" w:rsidRPr="008A5309">
        <w:rPr>
          <w:rStyle w:val="Ttulodellibro"/>
          <w:rFonts w:ascii="Palatino Linotype" w:hAnsi="Palatino Linotype"/>
          <w:sz w:val="24"/>
          <w:szCs w:val="24"/>
        </w:rPr>
        <w:t xml:space="preserve"> Debate Temático</w:t>
      </w:r>
    </w:p>
    <w:p w:rsidR="00AC7955" w:rsidRPr="00AD19ED" w:rsidRDefault="00AC7955" w:rsidP="00AC7955">
      <w:pPr>
        <w:spacing w:after="0" w:line="240" w:lineRule="auto"/>
        <w:jc w:val="center"/>
        <w:rPr>
          <w:rFonts w:ascii="Palatino Linotype" w:hAnsi="Palatino Linotype"/>
          <w:b/>
          <w:sz w:val="24"/>
          <w:szCs w:val="24"/>
          <w:u w:val="single"/>
        </w:rPr>
      </w:pPr>
      <w:r w:rsidRPr="00AD19ED">
        <w:rPr>
          <w:rFonts w:ascii="Palatino Linotype" w:hAnsi="Palatino Linotype"/>
          <w:b/>
          <w:sz w:val="24"/>
          <w:szCs w:val="24"/>
          <w:u w:val="single"/>
        </w:rPr>
        <w:t>Hoja de Datos</w:t>
      </w:r>
      <w:r w:rsidR="009B1663">
        <w:rPr>
          <w:rStyle w:val="Refdenotaalpie"/>
          <w:rFonts w:ascii="Palatino Linotype" w:eastAsia="Times New Roman" w:hAnsi="Palatino Linotype" w:cs="Arial"/>
          <w:iCs/>
          <w:sz w:val="24"/>
          <w:szCs w:val="24"/>
        </w:rPr>
        <w:footnoteReference w:id="2"/>
      </w:r>
    </w:p>
    <w:p w:rsidR="00AC7955" w:rsidRPr="00AD19ED" w:rsidRDefault="00AC7955" w:rsidP="00AC7955">
      <w:pPr>
        <w:spacing w:after="0" w:line="240" w:lineRule="auto"/>
        <w:jc w:val="center"/>
        <w:rPr>
          <w:rFonts w:ascii="Palatino Linotype" w:hAnsi="Palatino Linotype"/>
          <w:b/>
          <w:sz w:val="24"/>
          <w:szCs w:val="24"/>
          <w:u w:val="single"/>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93"/>
        <w:gridCol w:w="6885"/>
      </w:tblGrid>
      <w:tr w:rsidR="00882082" w:rsidRPr="00AD19ED" w:rsidTr="00AC7955">
        <w:tc>
          <w:tcPr>
            <w:tcW w:w="8978" w:type="dxa"/>
            <w:gridSpan w:val="2"/>
            <w:shd w:val="clear" w:color="auto" w:fill="D9D9D9" w:themeFill="background1" w:themeFillShade="D9"/>
          </w:tcPr>
          <w:p w:rsidR="00882082" w:rsidRPr="00AD19ED" w:rsidRDefault="00E8455F" w:rsidP="008E056E">
            <w:pPr>
              <w:spacing w:after="0" w:line="240" w:lineRule="auto"/>
              <w:jc w:val="center"/>
              <w:rPr>
                <w:rFonts w:ascii="Palatino Linotype" w:eastAsia="Times New Roman" w:hAnsi="Palatino Linotype" w:cs="Arial"/>
                <w:b/>
                <w:iCs/>
                <w:sz w:val="24"/>
                <w:szCs w:val="24"/>
              </w:rPr>
            </w:pPr>
            <w:r w:rsidRPr="00AD19ED">
              <w:rPr>
                <w:rFonts w:ascii="Palatino Linotype" w:eastAsia="Calibri" w:hAnsi="Palatino Linotype" w:cs="Times New Roman"/>
                <w:b/>
                <w:bCs/>
                <w:color w:val="000000"/>
                <w:sz w:val="24"/>
                <w:szCs w:val="24"/>
              </w:rPr>
              <w:t>Solicitantes Frecuentes/Abuso de Derecho</w:t>
            </w:r>
          </w:p>
        </w:tc>
      </w:tr>
      <w:tr w:rsidR="00522F6E" w:rsidRPr="00AD19ED" w:rsidTr="00882082">
        <w:tc>
          <w:tcPr>
            <w:tcW w:w="2093" w:type="dxa"/>
            <w:shd w:val="clear" w:color="auto" w:fill="auto"/>
          </w:tcPr>
          <w:p w:rsidR="00522F6E" w:rsidRPr="00AD19ED" w:rsidRDefault="005E04AA" w:rsidP="00882082">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b/>
                <w:sz w:val="24"/>
                <w:szCs w:val="24"/>
                <w:lang w:val="es-MX"/>
              </w:rPr>
              <w:t xml:space="preserve">Breve </w:t>
            </w:r>
            <w:r w:rsidR="00882082" w:rsidRPr="00AD19ED">
              <w:rPr>
                <w:rFonts w:ascii="Palatino Linotype" w:eastAsia="Calibri" w:hAnsi="Palatino Linotype" w:cs="Times New Roman"/>
                <w:b/>
                <w:sz w:val="24"/>
                <w:szCs w:val="24"/>
                <w:lang w:val="es-MX"/>
              </w:rPr>
              <w:t>Descripción</w:t>
            </w:r>
          </w:p>
        </w:tc>
        <w:tc>
          <w:tcPr>
            <w:tcW w:w="6885" w:type="dxa"/>
            <w:shd w:val="clear" w:color="auto" w:fill="auto"/>
          </w:tcPr>
          <w:p w:rsidR="003A1E44" w:rsidRPr="00C33CF4" w:rsidRDefault="003A1E44" w:rsidP="00C33CF4">
            <w:pPr>
              <w:spacing w:after="0"/>
              <w:jc w:val="both"/>
              <w:rPr>
                <w:rFonts w:ascii="Palatino Linotype" w:eastAsia="Times New Roman" w:hAnsi="Palatino Linotype" w:cs="Arial"/>
                <w:sz w:val="24"/>
                <w:szCs w:val="24"/>
                <w:lang w:val="es-MX" w:eastAsia="es-ES"/>
              </w:rPr>
            </w:pPr>
            <w:r w:rsidRPr="00C33CF4">
              <w:rPr>
                <w:rFonts w:ascii="Palatino Linotype" w:eastAsia="Times New Roman" w:hAnsi="Palatino Linotype" w:cs="Arial"/>
                <w:sz w:val="24"/>
                <w:szCs w:val="24"/>
                <w:lang w:val="es-MX" w:eastAsia="es-ES"/>
              </w:rPr>
              <w:t>Se considera que, a fin de delimitar nuestro tema, puedan desarrollarse brevemente algunas reflexiones que, a manera de pregunta, sirvan como facilitadores del debate, a saber:</w:t>
            </w:r>
          </w:p>
          <w:p w:rsidR="003A1E44" w:rsidRPr="00C33CF4" w:rsidRDefault="003A1E44" w:rsidP="00C33CF4">
            <w:pPr>
              <w:pStyle w:val="Prrafodelista"/>
              <w:numPr>
                <w:ilvl w:val="0"/>
                <w:numId w:val="6"/>
              </w:numPr>
              <w:suppressAutoHyphens/>
              <w:spacing w:after="0" w:line="240" w:lineRule="auto"/>
              <w:jc w:val="both"/>
              <w:rPr>
                <w:rFonts w:ascii="Palatino Linotype" w:hAnsi="Palatino Linotype"/>
                <w:sz w:val="24"/>
                <w:szCs w:val="24"/>
              </w:rPr>
            </w:pPr>
            <w:r w:rsidRPr="00C33CF4">
              <w:rPr>
                <w:rFonts w:ascii="Palatino Linotype" w:eastAsia="Times New Roman" w:hAnsi="Palatino Linotype" w:cs="Arial"/>
                <w:sz w:val="24"/>
                <w:szCs w:val="24"/>
                <w:lang w:val="es-MX" w:eastAsia="es-ES"/>
              </w:rPr>
              <w:t>¿Cuándo estamos ante el abuso de un derecho?</w:t>
            </w:r>
          </w:p>
          <w:p w:rsidR="003A1E44" w:rsidRPr="00C33CF4" w:rsidRDefault="003A1E44" w:rsidP="00C33CF4">
            <w:pPr>
              <w:pStyle w:val="Prrafodelista"/>
              <w:numPr>
                <w:ilvl w:val="0"/>
                <w:numId w:val="6"/>
              </w:numPr>
              <w:suppressAutoHyphens/>
              <w:spacing w:after="0" w:line="240" w:lineRule="auto"/>
              <w:jc w:val="both"/>
              <w:rPr>
                <w:rFonts w:ascii="Palatino Linotype" w:hAnsi="Palatino Linotype"/>
                <w:sz w:val="24"/>
                <w:szCs w:val="24"/>
              </w:rPr>
            </w:pPr>
            <w:r w:rsidRPr="00C33CF4">
              <w:rPr>
                <w:rFonts w:ascii="Palatino Linotype" w:eastAsia="Times New Roman" w:hAnsi="Palatino Linotype" w:cs="Arial"/>
                <w:sz w:val="24"/>
                <w:szCs w:val="24"/>
                <w:lang w:val="es-MX" w:eastAsia="es-ES"/>
              </w:rPr>
              <w:t>¿Hay criterios objetivos para sostener que existe abuso del derecho de acceso a la información?</w:t>
            </w:r>
          </w:p>
          <w:p w:rsidR="00723DB2" w:rsidRPr="00C33CF4" w:rsidRDefault="003A1E44" w:rsidP="00C33CF4">
            <w:pPr>
              <w:pStyle w:val="Prrafodelista"/>
              <w:numPr>
                <w:ilvl w:val="0"/>
                <w:numId w:val="6"/>
              </w:numPr>
              <w:suppressAutoHyphens/>
              <w:spacing w:after="0" w:line="240" w:lineRule="auto"/>
              <w:jc w:val="both"/>
              <w:rPr>
                <w:rFonts w:ascii="Palatino Linotype" w:hAnsi="Palatino Linotype"/>
                <w:sz w:val="24"/>
                <w:szCs w:val="24"/>
              </w:rPr>
            </w:pPr>
            <w:r w:rsidRPr="00C33CF4">
              <w:rPr>
                <w:rFonts w:ascii="Palatino Linotype" w:eastAsia="Times New Roman" w:hAnsi="Palatino Linotype" w:cs="Arial"/>
                <w:sz w:val="24"/>
                <w:szCs w:val="24"/>
                <w:lang w:val="es-MX" w:eastAsia="es-ES"/>
              </w:rPr>
              <w:t>¿Qué consecuencias pueden derivar del abuso del derecho de acceso a la información?</w:t>
            </w:r>
          </w:p>
        </w:tc>
      </w:tr>
      <w:tr w:rsidR="00522F6E" w:rsidRPr="00AD19ED" w:rsidTr="00882082">
        <w:tc>
          <w:tcPr>
            <w:tcW w:w="2093" w:type="dxa"/>
            <w:shd w:val="clear" w:color="auto" w:fill="auto"/>
          </w:tcPr>
          <w:p w:rsidR="00522F6E" w:rsidRPr="00AD19ED" w:rsidRDefault="00882082" w:rsidP="00882082">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b/>
                <w:sz w:val="24"/>
                <w:szCs w:val="24"/>
                <w:lang w:val="es-MX"/>
              </w:rPr>
              <w:t>País</w:t>
            </w:r>
            <w:r w:rsidR="004C26D7" w:rsidRPr="00AD19ED">
              <w:rPr>
                <w:rFonts w:ascii="Palatino Linotype" w:eastAsia="Calibri" w:hAnsi="Palatino Linotype" w:cs="Times New Roman"/>
                <w:b/>
                <w:sz w:val="24"/>
                <w:szCs w:val="24"/>
                <w:lang w:val="es-MX"/>
              </w:rPr>
              <w:t>/Miembro</w:t>
            </w:r>
          </w:p>
        </w:tc>
        <w:tc>
          <w:tcPr>
            <w:tcW w:w="6885" w:type="dxa"/>
            <w:shd w:val="clear" w:color="auto" w:fill="auto"/>
          </w:tcPr>
          <w:p w:rsidR="00522F6E" w:rsidRPr="00C33CF4" w:rsidRDefault="008349B0" w:rsidP="00C33CF4">
            <w:pPr>
              <w:autoSpaceDE w:val="0"/>
              <w:autoSpaceDN w:val="0"/>
              <w:adjustRightInd w:val="0"/>
              <w:spacing w:after="0" w:line="240" w:lineRule="auto"/>
              <w:jc w:val="center"/>
              <w:rPr>
                <w:rFonts w:ascii="Palatino Linotype" w:eastAsia="Times New Roman" w:hAnsi="Palatino Linotype" w:cs="Arial"/>
                <w:b/>
                <w:iCs/>
                <w:sz w:val="24"/>
                <w:szCs w:val="24"/>
              </w:rPr>
            </w:pPr>
            <w:r w:rsidRPr="00C33CF4">
              <w:rPr>
                <w:rFonts w:ascii="Palatino Linotype" w:eastAsia="Times New Roman" w:hAnsi="Palatino Linotype" w:cs="Arial"/>
                <w:b/>
                <w:iCs/>
                <w:sz w:val="24"/>
                <w:szCs w:val="24"/>
              </w:rPr>
              <w:t>PERÚ/DEFENSORÍA DEL PUEBLO</w:t>
            </w:r>
          </w:p>
        </w:tc>
      </w:tr>
      <w:tr w:rsidR="00522F6E" w:rsidRPr="00AD19ED" w:rsidTr="00882082">
        <w:tc>
          <w:tcPr>
            <w:tcW w:w="2093" w:type="dxa"/>
            <w:shd w:val="clear" w:color="auto" w:fill="auto"/>
          </w:tcPr>
          <w:p w:rsidR="00522F6E" w:rsidRPr="00AD19ED" w:rsidRDefault="00882082" w:rsidP="00882082">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b/>
                <w:sz w:val="24"/>
                <w:szCs w:val="24"/>
                <w:lang w:val="es-MX"/>
              </w:rPr>
              <w:t xml:space="preserve">Consideraciones Generales </w:t>
            </w:r>
            <w:r w:rsidRPr="00AD19ED">
              <w:rPr>
                <w:rFonts w:ascii="Palatino Linotype" w:eastAsia="Calibri" w:hAnsi="Palatino Linotype" w:cs="Times New Roman"/>
                <w:sz w:val="24"/>
                <w:szCs w:val="24"/>
                <w:lang w:val="es-MX"/>
              </w:rPr>
              <w:t>(Relevancia del tema)</w:t>
            </w:r>
          </w:p>
        </w:tc>
        <w:tc>
          <w:tcPr>
            <w:tcW w:w="6885" w:type="dxa"/>
            <w:shd w:val="clear" w:color="auto" w:fill="auto"/>
          </w:tcPr>
          <w:p w:rsidR="002459FC" w:rsidRPr="00C33CF4" w:rsidRDefault="002459FC" w:rsidP="00C33CF4">
            <w:pPr>
              <w:spacing w:after="0" w:line="240" w:lineRule="auto"/>
              <w:jc w:val="both"/>
              <w:rPr>
                <w:rFonts w:ascii="Palatino Linotype" w:hAnsi="Palatino Linotype" w:cs="Arial"/>
                <w:sz w:val="24"/>
                <w:szCs w:val="24"/>
              </w:rPr>
            </w:pPr>
            <w:r w:rsidRPr="00C33CF4">
              <w:rPr>
                <w:rFonts w:ascii="Palatino Linotype" w:eastAsia="Times New Roman" w:hAnsi="Palatino Linotype" w:cs="Arial"/>
                <w:sz w:val="24"/>
                <w:szCs w:val="24"/>
                <w:lang w:val="es-MX" w:eastAsia="es-ES"/>
              </w:rPr>
              <w:t xml:space="preserve">La Constitución Política señala </w:t>
            </w:r>
            <w:r w:rsidR="00254602" w:rsidRPr="00C33CF4">
              <w:rPr>
                <w:rFonts w:ascii="Palatino Linotype" w:eastAsia="Times New Roman" w:hAnsi="Palatino Linotype" w:cs="Arial"/>
                <w:sz w:val="24"/>
                <w:szCs w:val="24"/>
                <w:lang w:val="es-MX" w:eastAsia="es-ES"/>
              </w:rPr>
              <w:t xml:space="preserve">expresamente </w:t>
            </w:r>
            <w:r w:rsidRPr="00C33CF4">
              <w:rPr>
                <w:rFonts w:ascii="Palatino Linotype" w:eastAsia="Times New Roman" w:hAnsi="Palatino Linotype" w:cs="Arial"/>
                <w:sz w:val="24"/>
                <w:szCs w:val="24"/>
                <w:lang w:val="es-MX" w:eastAsia="es-ES"/>
              </w:rPr>
              <w:t>que “n</w:t>
            </w:r>
            <w:r w:rsidRPr="00C33CF4">
              <w:rPr>
                <w:rFonts w:ascii="Palatino Linotype" w:eastAsia="Times New Roman" w:hAnsi="Palatino Linotype" w:cs="Arial"/>
                <w:sz w:val="24"/>
                <w:szCs w:val="24"/>
                <w:lang w:eastAsia="es-ES"/>
              </w:rPr>
              <w:t>o ampara el abuso del derecho”</w:t>
            </w:r>
            <w:r w:rsidRPr="00C33CF4">
              <w:rPr>
                <w:rFonts w:ascii="Palatino Linotype" w:eastAsia="Times New Roman" w:hAnsi="Palatino Linotype" w:cs="Arial"/>
                <w:sz w:val="24"/>
                <w:szCs w:val="24"/>
                <w:lang w:val="es-MX" w:eastAsia="es-ES"/>
              </w:rPr>
              <w:t xml:space="preserve"> (</w:t>
            </w:r>
            <w:r w:rsidR="00D25579">
              <w:rPr>
                <w:rFonts w:ascii="Palatino Linotype" w:hAnsi="Palatino Linotype" w:cs="Arial"/>
                <w:sz w:val="24"/>
                <w:szCs w:val="24"/>
              </w:rPr>
              <w:t>a</w:t>
            </w:r>
            <w:r w:rsidRPr="00C33CF4">
              <w:rPr>
                <w:rFonts w:ascii="Palatino Linotype" w:hAnsi="Palatino Linotype" w:cs="Arial"/>
                <w:sz w:val="24"/>
                <w:szCs w:val="24"/>
              </w:rPr>
              <w:t>rtículo 103</w:t>
            </w:r>
            <w:r w:rsidR="00D25579">
              <w:rPr>
                <w:rFonts w:ascii="Palatino Linotype" w:hAnsi="Palatino Linotype" w:cs="Arial"/>
                <w:sz w:val="24"/>
                <w:szCs w:val="24"/>
              </w:rPr>
              <w:t>°</w:t>
            </w:r>
            <w:r w:rsidRPr="00C33CF4">
              <w:rPr>
                <w:rFonts w:ascii="Palatino Linotype" w:hAnsi="Palatino Linotype" w:cs="Arial"/>
                <w:sz w:val="24"/>
                <w:szCs w:val="24"/>
              </w:rPr>
              <w:t xml:space="preserve">). </w:t>
            </w:r>
          </w:p>
          <w:p w:rsidR="002459FC" w:rsidRPr="00C33CF4" w:rsidRDefault="002459FC" w:rsidP="00C33CF4">
            <w:pPr>
              <w:spacing w:after="0" w:line="240" w:lineRule="auto"/>
              <w:jc w:val="both"/>
              <w:rPr>
                <w:rFonts w:ascii="Palatino Linotype" w:hAnsi="Palatino Linotype" w:cs="Arial"/>
                <w:sz w:val="24"/>
                <w:szCs w:val="24"/>
              </w:rPr>
            </w:pPr>
          </w:p>
          <w:p w:rsidR="00D25579" w:rsidRDefault="002459FC" w:rsidP="00C33CF4">
            <w:pPr>
              <w:spacing w:after="0" w:line="240" w:lineRule="auto"/>
              <w:jc w:val="both"/>
              <w:rPr>
                <w:rFonts w:ascii="Palatino Linotype" w:hAnsi="Palatino Linotype" w:cs="Arial"/>
                <w:sz w:val="24"/>
                <w:szCs w:val="24"/>
                <w:lang w:val="es-ES_tradnl"/>
              </w:rPr>
            </w:pPr>
            <w:r w:rsidRPr="00C33CF4">
              <w:rPr>
                <w:rFonts w:ascii="Palatino Linotype" w:hAnsi="Palatino Linotype" w:cs="Arial"/>
                <w:sz w:val="24"/>
                <w:szCs w:val="24"/>
                <w:lang w:val="es-ES_tradnl"/>
              </w:rPr>
              <w:t xml:space="preserve">Al respecto, </w:t>
            </w:r>
            <w:r w:rsidR="00D25579">
              <w:rPr>
                <w:rFonts w:ascii="Palatino Linotype" w:hAnsi="Palatino Linotype" w:cs="Arial"/>
                <w:sz w:val="24"/>
                <w:szCs w:val="24"/>
                <w:lang w:val="es-ES_tradnl"/>
              </w:rPr>
              <w:t xml:space="preserve">con ocasión del derecho de acceso a la jurisdicción, el </w:t>
            </w:r>
            <w:r w:rsidRPr="00C33CF4">
              <w:rPr>
                <w:rFonts w:ascii="Palatino Linotype" w:hAnsi="Palatino Linotype" w:cs="Arial"/>
                <w:sz w:val="24"/>
                <w:szCs w:val="24"/>
                <w:lang w:val="es-ES_tradnl"/>
              </w:rPr>
              <w:t>Tribunal Constitucional ha señalado que</w:t>
            </w:r>
            <w:r w:rsidR="00D25579">
              <w:rPr>
                <w:rFonts w:ascii="Palatino Linotype" w:hAnsi="Palatino Linotype" w:cs="Arial"/>
                <w:sz w:val="24"/>
                <w:szCs w:val="24"/>
                <w:lang w:val="es-ES_tradnl"/>
              </w:rPr>
              <w:t>:</w:t>
            </w:r>
          </w:p>
          <w:p w:rsidR="00D25579" w:rsidRDefault="00D25579" w:rsidP="00C33CF4">
            <w:pPr>
              <w:spacing w:after="0" w:line="240" w:lineRule="auto"/>
              <w:jc w:val="both"/>
              <w:rPr>
                <w:rFonts w:ascii="Palatino Linotype" w:hAnsi="Palatino Linotype" w:cs="Arial"/>
                <w:sz w:val="24"/>
                <w:szCs w:val="24"/>
                <w:lang w:val="es-ES_tradnl"/>
              </w:rPr>
            </w:pPr>
          </w:p>
          <w:p w:rsidR="002459FC" w:rsidRPr="00D25579" w:rsidRDefault="00D25579" w:rsidP="00D25579">
            <w:pPr>
              <w:spacing w:after="0" w:line="240" w:lineRule="auto"/>
              <w:ind w:left="336"/>
              <w:jc w:val="both"/>
              <w:rPr>
                <w:rFonts w:ascii="Palatino Linotype" w:eastAsia="Lucida Sans Unicode" w:hAnsi="Palatino Linotype" w:cs="Arial"/>
              </w:rPr>
            </w:pPr>
            <w:r w:rsidRPr="00D25579">
              <w:rPr>
                <w:rFonts w:ascii="Palatino Linotype" w:eastAsia="Times New Roman" w:hAnsi="Palatino Linotype" w:cs="Arial"/>
                <w:iCs/>
                <w:lang w:val="es-PE"/>
              </w:rPr>
              <w:t>[…]</w:t>
            </w:r>
            <w:r w:rsidR="0095720B">
              <w:rPr>
                <w:rFonts w:ascii="Palatino Linotype" w:eastAsia="Times New Roman" w:hAnsi="Palatino Linotype" w:cs="Arial"/>
                <w:iCs/>
                <w:lang w:val="es-PE"/>
              </w:rPr>
              <w:t xml:space="preserve"> </w:t>
            </w:r>
            <w:r w:rsidR="002459FC" w:rsidRPr="00D25579">
              <w:rPr>
                <w:rFonts w:ascii="Palatino Linotype" w:eastAsia="Lucida Sans Unicode" w:hAnsi="Palatino Linotype" w:cs="Arial"/>
              </w:rPr>
              <w:t>la</w:t>
            </w:r>
            <w:r w:rsidR="0095720B">
              <w:rPr>
                <w:rFonts w:ascii="Palatino Linotype" w:eastAsia="Lucida Sans Unicode" w:hAnsi="Palatino Linotype" w:cs="Arial"/>
              </w:rPr>
              <w:t xml:space="preserve"> </w:t>
            </w:r>
            <w:r w:rsidR="002459FC" w:rsidRPr="00D25579">
              <w:rPr>
                <w:rFonts w:ascii="Palatino Linotype" w:eastAsia="Lucida Sans Unicode" w:hAnsi="Palatino Linotype" w:cs="Arial"/>
              </w:rPr>
              <w:t>Constitución</w:t>
            </w:r>
            <w:r w:rsidR="002459FC" w:rsidRPr="00D25579">
              <w:rPr>
                <w:rFonts w:ascii="Palatino Linotype" w:hAnsi="Palatino Linotype" w:cs="Arial"/>
              </w:rPr>
              <w:t xml:space="preserve"> no ampara el abuso de derecho (artículo 103), de modo que no puede ser amparado un ejercicio abusivo del derecho fundamental </w:t>
            </w:r>
            <w:r>
              <w:rPr>
                <w:rFonts w:ascii="Palatino Linotype" w:hAnsi="Palatino Linotype" w:cs="Arial"/>
              </w:rPr>
              <w:t>[…]</w:t>
            </w:r>
            <w:r w:rsidR="002459FC" w:rsidRPr="00D25579">
              <w:rPr>
                <w:rFonts w:ascii="Palatino Linotype" w:hAnsi="Palatino Linotype" w:cs="Arial"/>
              </w:rPr>
              <w:t xml:space="preserve">, en tanto que los derechos fundamentales no son absolutos sino relativos y, por eso mismo, admiten límites razonables en su ejercicio, el mismo que debe desarrollarse de conformidad con la Constitución. </w:t>
            </w:r>
            <w:r w:rsidR="002459FC" w:rsidRPr="00D25579">
              <w:rPr>
                <w:rFonts w:ascii="Palatino Linotype" w:eastAsia="Lucida Sans Unicode" w:hAnsi="Palatino Linotype" w:cs="Arial"/>
              </w:rPr>
              <w:t>En consecuencia, corresponde al órgano jurisdiccional competente valorar, en cada caso concreto, si los instrumentos procesales que el ordenamiento jurídico provee han sido empleados arbitrariamente y de mala fe</w:t>
            </w:r>
            <w:r w:rsidRPr="00D25579">
              <w:rPr>
                <w:rFonts w:ascii="Palatino Linotype" w:eastAsia="Times New Roman" w:hAnsi="Palatino Linotype" w:cs="Arial"/>
                <w:iCs/>
                <w:lang w:val="es-PE"/>
              </w:rPr>
              <w:t>.</w:t>
            </w:r>
            <w:r w:rsidR="002459FC" w:rsidRPr="00D25579">
              <w:rPr>
                <w:rStyle w:val="Refdenotaalpie"/>
                <w:rFonts w:ascii="Palatino Linotype" w:eastAsia="Lucida Sans Unicode" w:hAnsi="Palatino Linotype" w:cs="Arial"/>
              </w:rPr>
              <w:footnoteReference w:id="3"/>
            </w:r>
          </w:p>
          <w:p w:rsidR="002459FC" w:rsidRPr="00C33CF4" w:rsidRDefault="002459FC" w:rsidP="00C33CF4">
            <w:pPr>
              <w:spacing w:after="0" w:line="240" w:lineRule="auto"/>
              <w:jc w:val="both"/>
              <w:rPr>
                <w:rFonts w:ascii="Palatino Linotype" w:hAnsi="Palatino Linotype" w:cs="Arial"/>
                <w:sz w:val="24"/>
                <w:szCs w:val="24"/>
              </w:rPr>
            </w:pPr>
          </w:p>
          <w:p w:rsidR="002459FC" w:rsidRPr="00C33CF4" w:rsidRDefault="002459FC" w:rsidP="00C33CF4">
            <w:pPr>
              <w:spacing w:after="0" w:line="240" w:lineRule="auto"/>
              <w:jc w:val="both"/>
              <w:rPr>
                <w:rFonts w:ascii="Palatino Linotype" w:eastAsia="Times New Roman" w:hAnsi="Palatino Linotype" w:cs="Arial"/>
                <w:iCs/>
                <w:sz w:val="24"/>
                <w:szCs w:val="24"/>
              </w:rPr>
            </w:pPr>
            <w:r w:rsidRPr="00C33CF4">
              <w:rPr>
                <w:rFonts w:ascii="Palatino Linotype" w:eastAsia="Times New Roman" w:hAnsi="Palatino Linotype" w:cs="Arial"/>
                <w:iCs/>
                <w:sz w:val="24"/>
                <w:szCs w:val="24"/>
              </w:rPr>
              <w:t xml:space="preserve">Además, ha definido </w:t>
            </w:r>
            <w:r w:rsidR="003D0B05" w:rsidRPr="00C33CF4">
              <w:rPr>
                <w:rFonts w:ascii="Palatino Linotype" w:eastAsia="Times New Roman" w:hAnsi="Palatino Linotype" w:cs="Arial"/>
                <w:iCs/>
                <w:sz w:val="24"/>
                <w:szCs w:val="24"/>
              </w:rPr>
              <w:t xml:space="preserve">al </w:t>
            </w:r>
            <w:r w:rsidRPr="00C33CF4">
              <w:rPr>
                <w:rFonts w:ascii="Palatino Linotype" w:hAnsi="Palatino Linotype" w:cs="Arial"/>
                <w:sz w:val="24"/>
                <w:szCs w:val="24"/>
                <w:lang w:val="es-ES_tradnl"/>
              </w:rPr>
              <w:t>abuso del derecho como un conflicto entre</w:t>
            </w:r>
            <w:r w:rsidR="0095720B">
              <w:rPr>
                <w:rFonts w:ascii="Palatino Linotype" w:hAnsi="Palatino Linotype" w:cs="Arial"/>
                <w:sz w:val="24"/>
                <w:szCs w:val="24"/>
                <w:lang w:val="es-ES_tradnl"/>
              </w:rPr>
              <w:t xml:space="preserve"> </w:t>
            </w:r>
            <w:r w:rsidRPr="00C33CF4">
              <w:rPr>
                <w:rFonts w:ascii="Palatino Linotype" w:hAnsi="Palatino Linotype" w:cs="Arial"/>
                <w:sz w:val="24"/>
                <w:szCs w:val="24"/>
                <w:lang w:val="es-ES_tradnl"/>
              </w:rPr>
              <w:t xml:space="preserve">las reglas que confieren atributos al titular de un derecho subjetivo, </w:t>
            </w:r>
            <w:r w:rsidR="00C8662D">
              <w:rPr>
                <w:rFonts w:ascii="Palatino Linotype" w:hAnsi="Palatino Linotype" w:cs="Arial"/>
                <w:sz w:val="24"/>
                <w:szCs w:val="24"/>
                <w:lang w:val="es-ES_tradnl"/>
              </w:rPr>
              <w:t xml:space="preserve">con los </w:t>
            </w:r>
            <w:r w:rsidRPr="00C33CF4">
              <w:rPr>
                <w:rFonts w:ascii="Palatino Linotype" w:hAnsi="Palatino Linotype" w:cs="Arial"/>
                <w:sz w:val="24"/>
                <w:szCs w:val="24"/>
                <w:lang w:val="es-ES_tradnl"/>
              </w:rPr>
              <w:t xml:space="preserve">principios que sirven de razones últimas para su ejercicio. </w:t>
            </w:r>
            <w:r w:rsidR="00D25579">
              <w:rPr>
                <w:rFonts w:ascii="Palatino Linotype" w:hAnsi="Palatino Linotype" w:cs="Arial"/>
                <w:sz w:val="24"/>
                <w:szCs w:val="24"/>
                <w:lang w:val="es-ES_tradnl"/>
              </w:rPr>
              <w:t>F</w:t>
            </w:r>
            <w:r w:rsidRPr="00C33CF4">
              <w:rPr>
                <w:rFonts w:ascii="Palatino Linotype" w:hAnsi="Palatino Linotype" w:cs="Arial"/>
                <w:sz w:val="24"/>
                <w:szCs w:val="24"/>
                <w:lang w:val="es-ES_tradnl"/>
              </w:rPr>
              <w:t xml:space="preserve">rente a ello, no basta </w:t>
            </w:r>
            <w:r w:rsidR="00D25579">
              <w:rPr>
                <w:rFonts w:ascii="Palatino Linotype" w:hAnsi="Palatino Linotype" w:cs="Arial"/>
                <w:sz w:val="24"/>
                <w:szCs w:val="24"/>
                <w:lang w:val="es-ES_tradnl"/>
              </w:rPr>
              <w:t xml:space="preserve">con </w:t>
            </w:r>
            <w:r w:rsidRPr="00C33CF4">
              <w:rPr>
                <w:rFonts w:ascii="Palatino Linotype" w:hAnsi="Palatino Linotype" w:cs="Arial"/>
                <w:sz w:val="24"/>
                <w:szCs w:val="24"/>
                <w:lang w:val="es-ES_tradnl"/>
              </w:rPr>
              <w:t xml:space="preserve">que una conducta sea compatible con </w:t>
            </w:r>
            <w:r w:rsidR="00D25579">
              <w:rPr>
                <w:rFonts w:ascii="Palatino Linotype" w:hAnsi="Palatino Linotype" w:cs="Arial"/>
                <w:sz w:val="24"/>
                <w:szCs w:val="24"/>
                <w:lang w:val="es-ES_tradnl"/>
              </w:rPr>
              <w:t xml:space="preserve">la </w:t>
            </w:r>
            <w:r w:rsidRPr="00C33CF4">
              <w:rPr>
                <w:rFonts w:ascii="Palatino Linotype" w:hAnsi="Palatino Linotype" w:cs="Arial"/>
                <w:sz w:val="24"/>
                <w:szCs w:val="24"/>
                <w:lang w:val="es-ES_tradnl"/>
              </w:rPr>
              <w:t xml:space="preserve">regla de derecho, sino que </w:t>
            </w:r>
            <w:r w:rsidR="00D25579">
              <w:rPr>
                <w:rFonts w:ascii="Palatino Linotype" w:hAnsi="Palatino Linotype" w:cs="Arial"/>
                <w:sz w:val="24"/>
                <w:szCs w:val="24"/>
                <w:lang w:val="es-ES_tradnl"/>
              </w:rPr>
              <w:t>es necesario que d</w:t>
            </w:r>
            <w:r w:rsidRPr="00C33CF4">
              <w:rPr>
                <w:rFonts w:ascii="Palatino Linotype" w:hAnsi="Palatino Linotype" w:cs="Arial"/>
                <w:sz w:val="24"/>
                <w:szCs w:val="24"/>
                <w:lang w:val="es-ES_tradnl"/>
              </w:rPr>
              <w:t>icha conducta no contravenga un principio</w:t>
            </w:r>
            <w:r w:rsidRPr="00C33CF4">
              <w:rPr>
                <w:rFonts w:ascii="Palatino Linotype" w:eastAsia="Times New Roman" w:hAnsi="Palatino Linotype" w:cs="Arial"/>
                <w:sz w:val="24"/>
                <w:szCs w:val="24"/>
                <w:lang w:eastAsia="es-ES"/>
              </w:rPr>
              <w:t xml:space="preserve">, </w:t>
            </w:r>
            <w:r w:rsidR="00D25579">
              <w:rPr>
                <w:rFonts w:ascii="Palatino Linotype" w:eastAsia="Times New Roman" w:hAnsi="Palatino Linotype" w:cs="Arial"/>
                <w:sz w:val="24"/>
                <w:szCs w:val="24"/>
                <w:lang w:eastAsia="es-ES"/>
              </w:rPr>
              <w:t xml:space="preserve">a fin de </w:t>
            </w:r>
            <w:r w:rsidRPr="00C33CF4">
              <w:rPr>
                <w:rFonts w:ascii="Palatino Linotype" w:hAnsi="Palatino Linotype" w:cs="Arial"/>
                <w:sz w:val="24"/>
                <w:szCs w:val="24"/>
                <w:lang w:val="es-ES_tradnl"/>
              </w:rPr>
              <w:lastRenderedPageBreak/>
              <w:t>combatir el formalismo que sirve de cubierta para transgredir el orden jurídico constitucional</w:t>
            </w:r>
            <w:r w:rsidR="00D25579">
              <w:rPr>
                <w:rFonts w:ascii="Palatino Linotype" w:hAnsi="Palatino Linotype" w:cs="Arial"/>
                <w:sz w:val="24"/>
                <w:szCs w:val="24"/>
                <w:lang w:val="es-ES_tradnl"/>
              </w:rPr>
              <w:t>.</w:t>
            </w:r>
            <w:r w:rsidRPr="00C33CF4">
              <w:rPr>
                <w:rStyle w:val="Refdenotaalpie"/>
                <w:rFonts w:ascii="Palatino Linotype" w:eastAsia="Times New Roman" w:hAnsi="Palatino Linotype" w:cs="Arial"/>
                <w:sz w:val="24"/>
                <w:szCs w:val="24"/>
                <w:lang w:eastAsia="es-ES"/>
              </w:rPr>
              <w:footnoteReference w:id="4"/>
            </w:r>
          </w:p>
          <w:p w:rsidR="002459FC" w:rsidRPr="00C33CF4" w:rsidRDefault="002459FC" w:rsidP="00C33CF4">
            <w:pPr>
              <w:spacing w:after="0" w:line="240" w:lineRule="auto"/>
              <w:jc w:val="both"/>
              <w:rPr>
                <w:rFonts w:ascii="Palatino Linotype" w:eastAsia="Times New Roman" w:hAnsi="Palatino Linotype" w:cs="Arial"/>
                <w:iCs/>
                <w:sz w:val="24"/>
                <w:szCs w:val="24"/>
              </w:rPr>
            </w:pPr>
          </w:p>
          <w:p w:rsidR="00D25579" w:rsidRDefault="00D25579" w:rsidP="00C33CF4">
            <w:pPr>
              <w:spacing w:after="0" w:line="240" w:lineRule="auto"/>
              <w:jc w:val="both"/>
              <w:rPr>
                <w:rFonts w:ascii="Palatino Linotype" w:hAnsi="Palatino Linotype" w:cs="Arial"/>
                <w:sz w:val="24"/>
                <w:szCs w:val="24"/>
              </w:rPr>
            </w:pPr>
            <w:r>
              <w:rPr>
                <w:rFonts w:ascii="Palatino Linotype" w:eastAsia="Times New Roman" w:hAnsi="Palatino Linotype" w:cs="Arial"/>
                <w:sz w:val="24"/>
                <w:szCs w:val="24"/>
                <w:lang w:eastAsia="es-ES"/>
              </w:rPr>
              <w:t xml:space="preserve">También ha </w:t>
            </w:r>
            <w:r w:rsidR="002459FC" w:rsidRPr="00C33CF4">
              <w:rPr>
                <w:rFonts w:ascii="Palatino Linotype" w:eastAsia="Times New Roman" w:hAnsi="Palatino Linotype" w:cs="Arial"/>
                <w:sz w:val="24"/>
                <w:szCs w:val="24"/>
                <w:lang w:eastAsia="es-ES"/>
              </w:rPr>
              <w:t>precisa</w:t>
            </w:r>
            <w:r>
              <w:rPr>
                <w:rFonts w:ascii="Palatino Linotype" w:eastAsia="Times New Roman" w:hAnsi="Palatino Linotype" w:cs="Arial"/>
                <w:sz w:val="24"/>
                <w:szCs w:val="24"/>
                <w:lang w:eastAsia="es-ES"/>
              </w:rPr>
              <w:t>do</w:t>
            </w:r>
            <w:r w:rsidR="002459FC" w:rsidRPr="00C33CF4">
              <w:rPr>
                <w:rFonts w:ascii="Palatino Linotype" w:eastAsia="Times New Roman" w:hAnsi="Palatino Linotype" w:cs="Arial"/>
                <w:sz w:val="24"/>
                <w:szCs w:val="24"/>
                <w:lang w:eastAsia="es-ES"/>
              </w:rPr>
              <w:t xml:space="preserve"> que </w:t>
            </w:r>
            <w:r w:rsidR="002459FC" w:rsidRPr="00C33CF4">
              <w:rPr>
                <w:rFonts w:ascii="Palatino Linotype" w:eastAsia="Times New Roman" w:hAnsi="Palatino Linotype" w:cs="Arial"/>
                <w:iCs/>
                <w:sz w:val="24"/>
                <w:szCs w:val="24"/>
              </w:rPr>
              <w:t xml:space="preserve">el </w:t>
            </w:r>
            <w:r w:rsidR="002459FC" w:rsidRPr="00C33CF4">
              <w:rPr>
                <w:rFonts w:ascii="Palatino Linotype" w:hAnsi="Palatino Linotype" w:cs="Arial"/>
                <w:sz w:val="24"/>
                <w:szCs w:val="24"/>
              </w:rPr>
              <w:t>abuso del derecho</w:t>
            </w:r>
            <w:r w:rsidR="002459FC" w:rsidRPr="00C33CF4">
              <w:rPr>
                <w:rFonts w:ascii="Palatino Linotype" w:eastAsia="Times New Roman" w:hAnsi="Palatino Linotype" w:cs="Arial"/>
                <w:iCs/>
                <w:sz w:val="24"/>
                <w:szCs w:val="24"/>
              </w:rPr>
              <w:t>, aplicado</w:t>
            </w:r>
            <w:r w:rsidR="002459FC" w:rsidRPr="00C33CF4">
              <w:rPr>
                <w:rFonts w:ascii="Palatino Linotype" w:hAnsi="Palatino Linotype" w:cs="Arial"/>
                <w:sz w:val="24"/>
                <w:szCs w:val="24"/>
              </w:rPr>
              <w:t xml:space="preserve"> al ámbito de los derechos fundamentales, supone</w:t>
            </w:r>
            <w:r>
              <w:rPr>
                <w:rFonts w:ascii="Palatino Linotype" w:hAnsi="Palatino Linotype" w:cs="Arial"/>
                <w:sz w:val="24"/>
                <w:szCs w:val="24"/>
              </w:rPr>
              <w:t>.</w:t>
            </w:r>
          </w:p>
          <w:p w:rsidR="00D25579" w:rsidRDefault="00D25579" w:rsidP="00C33CF4">
            <w:pPr>
              <w:spacing w:after="0" w:line="240" w:lineRule="auto"/>
              <w:jc w:val="both"/>
              <w:rPr>
                <w:rFonts w:ascii="Palatino Linotype" w:hAnsi="Palatino Linotype" w:cs="Arial"/>
                <w:sz w:val="24"/>
                <w:szCs w:val="24"/>
              </w:rPr>
            </w:pPr>
          </w:p>
          <w:p w:rsidR="002459FC" w:rsidRPr="00D25579" w:rsidRDefault="00D25579" w:rsidP="00D25579">
            <w:pPr>
              <w:spacing w:after="0" w:line="240" w:lineRule="auto"/>
              <w:ind w:left="336"/>
              <w:jc w:val="both"/>
              <w:rPr>
                <w:rFonts w:ascii="Palatino Linotype" w:hAnsi="Palatino Linotype" w:cs="Arial"/>
              </w:rPr>
            </w:pPr>
            <w:r w:rsidRPr="00D25579">
              <w:rPr>
                <w:rFonts w:ascii="Palatino Linotype" w:eastAsia="Times New Roman" w:hAnsi="Palatino Linotype" w:cs="Arial"/>
                <w:iCs/>
                <w:lang w:val="es-PE"/>
              </w:rPr>
              <w:t>[…]</w:t>
            </w:r>
            <w:r w:rsidR="0095720B">
              <w:rPr>
                <w:rFonts w:ascii="Palatino Linotype" w:eastAsia="Times New Roman" w:hAnsi="Palatino Linotype" w:cs="Arial"/>
                <w:iCs/>
                <w:lang w:val="es-PE"/>
              </w:rPr>
              <w:t xml:space="preserve"> </w:t>
            </w:r>
            <w:r w:rsidR="002459FC" w:rsidRPr="00D25579">
              <w:rPr>
                <w:rFonts w:ascii="Palatino Linotype" w:hAnsi="Palatino Linotype" w:cs="Arial"/>
              </w:rPr>
              <w:t xml:space="preserve">la prohibición de desnaturalizar las finalidades u objetivos que sustentan la existencia de cada atributo, facultad o libertad reconocida sobre las personas. Los derechos, en otras palabras, no pueden utilizarse de una forma </w:t>
            </w:r>
            <w:r w:rsidRPr="00D25579">
              <w:rPr>
                <w:rFonts w:ascii="Palatino Linotype" w:hAnsi="Palatino Linotype" w:cs="Arial"/>
              </w:rPr>
              <w:t>ilegítima</w:t>
            </w:r>
            <w:r w:rsidR="002459FC" w:rsidRPr="00D25579">
              <w:rPr>
                <w:rFonts w:ascii="Palatino Linotype" w:hAnsi="Palatino Linotype" w:cs="Arial"/>
              </w:rPr>
              <w:t>, como ocurre en el caso cuestionado, en que administrativa y judicialmente se ha obtenido un pronunciamiento contrario al orden jurídico, sino de manera acorde con lo que representan los objetivos de realización del individuo empero de manera compatible con los valores del propio ordenamiento</w:t>
            </w:r>
            <w:r w:rsidRPr="00D25579">
              <w:rPr>
                <w:rFonts w:ascii="Palatino Linotype" w:eastAsia="Times New Roman" w:hAnsi="Palatino Linotype" w:cs="Arial"/>
                <w:iCs/>
                <w:lang w:val="es-PE"/>
              </w:rPr>
              <w:t>.</w:t>
            </w:r>
            <w:r w:rsidR="002459FC" w:rsidRPr="00D25579">
              <w:rPr>
                <w:rStyle w:val="Refdenotaalpie"/>
                <w:rFonts w:ascii="Palatino Linotype" w:hAnsi="Palatino Linotype" w:cs="Arial"/>
              </w:rPr>
              <w:footnoteReference w:id="5"/>
            </w:r>
          </w:p>
          <w:p w:rsidR="002459FC" w:rsidRPr="00C33CF4" w:rsidRDefault="002459FC" w:rsidP="00C33CF4">
            <w:pPr>
              <w:spacing w:after="0" w:line="240" w:lineRule="auto"/>
              <w:jc w:val="both"/>
              <w:rPr>
                <w:rFonts w:ascii="Palatino Linotype" w:hAnsi="Palatino Linotype" w:cs="Arial"/>
                <w:sz w:val="24"/>
                <w:szCs w:val="24"/>
              </w:rPr>
            </w:pPr>
          </w:p>
          <w:p w:rsidR="00DF0340" w:rsidRPr="00C33CF4" w:rsidRDefault="00C8662D" w:rsidP="00C33CF4">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Se advierte que a nivel constitucional se prohíbe </w:t>
            </w:r>
            <w:r w:rsidR="00254602" w:rsidRPr="00C33CF4">
              <w:rPr>
                <w:rFonts w:ascii="Palatino Linotype" w:hAnsi="Palatino Linotype" w:cs="Arial"/>
                <w:sz w:val="24"/>
                <w:szCs w:val="24"/>
              </w:rPr>
              <w:t>el abuso del derecho</w:t>
            </w:r>
            <w:r>
              <w:rPr>
                <w:rFonts w:ascii="Palatino Linotype" w:hAnsi="Palatino Linotype" w:cs="Arial"/>
                <w:sz w:val="24"/>
                <w:szCs w:val="24"/>
              </w:rPr>
              <w:t>.</w:t>
            </w:r>
            <w:r w:rsidR="00DF0340" w:rsidRPr="00C33CF4">
              <w:rPr>
                <w:rFonts w:ascii="Palatino Linotype" w:hAnsi="Palatino Linotype" w:cs="Arial"/>
                <w:sz w:val="24"/>
                <w:szCs w:val="24"/>
              </w:rPr>
              <w:t xml:space="preserve"> Sin embargo, </w:t>
            </w:r>
            <w:r>
              <w:rPr>
                <w:rFonts w:ascii="Palatino Linotype" w:hAnsi="Palatino Linotype" w:cs="Arial"/>
                <w:sz w:val="24"/>
                <w:szCs w:val="24"/>
              </w:rPr>
              <w:t>no se ha</w:t>
            </w:r>
            <w:r w:rsidR="00382584">
              <w:rPr>
                <w:rFonts w:ascii="Palatino Linotype" w:hAnsi="Palatino Linotype" w:cs="Arial"/>
                <w:sz w:val="24"/>
                <w:szCs w:val="24"/>
              </w:rPr>
              <w:t>n</w:t>
            </w:r>
            <w:r>
              <w:rPr>
                <w:rFonts w:ascii="Palatino Linotype" w:hAnsi="Palatino Linotype" w:cs="Arial"/>
                <w:sz w:val="24"/>
                <w:szCs w:val="24"/>
              </w:rPr>
              <w:t xml:space="preserve"> establecido criterios concretos que permitan </w:t>
            </w:r>
            <w:r w:rsidR="00254602" w:rsidRPr="00C33CF4">
              <w:rPr>
                <w:rFonts w:ascii="Palatino Linotype" w:hAnsi="Palatino Linotype" w:cs="Arial"/>
                <w:sz w:val="24"/>
                <w:szCs w:val="24"/>
              </w:rPr>
              <w:t xml:space="preserve">identificar </w:t>
            </w:r>
            <w:r>
              <w:rPr>
                <w:rFonts w:ascii="Palatino Linotype" w:hAnsi="Palatino Linotype" w:cs="Arial"/>
                <w:sz w:val="24"/>
                <w:szCs w:val="24"/>
              </w:rPr>
              <w:t xml:space="preserve">en qué momento estamos ante </w:t>
            </w:r>
            <w:r w:rsidR="00382584">
              <w:rPr>
                <w:rFonts w:ascii="Palatino Linotype" w:hAnsi="Palatino Linotype" w:cs="Arial"/>
                <w:sz w:val="24"/>
                <w:szCs w:val="24"/>
              </w:rPr>
              <w:t>el ejercicio abusivo de un derecho.</w:t>
            </w:r>
          </w:p>
          <w:p w:rsidR="00DF0340" w:rsidRPr="00C33CF4" w:rsidRDefault="00DF0340" w:rsidP="00C33CF4">
            <w:pPr>
              <w:spacing w:after="0" w:line="240" w:lineRule="auto"/>
              <w:jc w:val="both"/>
              <w:rPr>
                <w:rFonts w:ascii="Palatino Linotype" w:hAnsi="Palatino Linotype" w:cs="Arial"/>
                <w:sz w:val="24"/>
                <w:szCs w:val="24"/>
              </w:rPr>
            </w:pPr>
          </w:p>
          <w:p w:rsidR="00382584" w:rsidRDefault="00382584" w:rsidP="00382584">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Por su parte, la </w:t>
            </w:r>
            <w:r w:rsidR="00DF0340" w:rsidRPr="00C33CF4">
              <w:rPr>
                <w:rFonts w:ascii="Palatino Linotype" w:hAnsi="Palatino Linotype" w:cs="Arial"/>
                <w:sz w:val="24"/>
                <w:szCs w:val="24"/>
              </w:rPr>
              <w:t xml:space="preserve">normativa </w:t>
            </w:r>
            <w:r w:rsidR="00C53AEF" w:rsidRPr="00C33CF4">
              <w:rPr>
                <w:rFonts w:ascii="Palatino Linotype" w:hAnsi="Palatino Linotype" w:cs="Arial"/>
                <w:sz w:val="24"/>
                <w:szCs w:val="24"/>
              </w:rPr>
              <w:t xml:space="preserve">de transparencia y acceso a la información pública </w:t>
            </w:r>
            <w:r w:rsidR="00DF0340" w:rsidRPr="00C33CF4">
              <w:rPr>
                <w:rFonts w:ascii="Palatino Linotype" w:hAnsi="Palatino Linotype" w:cs="Arial"/>
                <w:sz w:val="24"/>
                <w:szCs w:val="24"/>
              </w:rPr>
              <w:t xml:space="preserve">no contempla </w:t>
            </w:r>
            <w:r w:rsidR="00254602" w:rsidRPr="00C33CF4">
              <w:rPr>
                <w:rFonts w:ascii="Palatino Linotype" w:hAnsi="Palatino Linotype" w:cs="Arial"/>
                <w:sz w:val="24"/>
                <w:szCs w:val="24"/>
              </w:rPr>
              <w:t xml:space="preserve">al abuso del derecho como </w:t>
            </w:r>
            <w:r w:rsidR="00DF0340" w:rsidRPr="00C33CF4">
              <w:rPr>
                <w:rFonts w:ascii="Palatino Linotype" w:hAnsi="Palatino Linotype" w:cs="Arial"/>
                <w:sz w:val="24"/>
                <w:szCs w:val="24"/>
              </w:rPr>
              <w:t xml:space="preserve">supuesto </w:t>
            </w:r>
            <w:r>
              <w:rPr>
                <w:rFonts w:ascii="Palatino Linotype" w:hAnsi="Palatino Linotype" w:cs="Arial"/>
                <w:sz w:val="24"/>
                <w:szCs w:val="24"/>
              </w:rPr>
              <w:t>que justifique la n</w:t>
            </w:r>
            <w:r w:rsidR="00606B83" w:rsidRPr="00C33CF4">
              <w:rPr>
                <w:rFonts w:ascii="Palatino Linotype" w:hAnsi="Palatino Linotype" w:cs="Arial"/>
                <w:sz w:val="24"/>
                <w:szCs w:val="24"/>
              </w:rPr>
              <w:t>egativa</w:t>
            </w:r>
            <w:r>
              <w:rPr>
                <w:rFonts w:ascii="Palatino Linotype" w:hAnsi="Palatino Linotype" w:cs="Arial"/>
                <w:sz w:val="24"/>
                <w:szCs w:val="24"/>
              </w:rPr>
              <w:t xml:space="preserve"> a la solicitud de acceso. </w:t>
            </w:r>
          </w:p>
          <w:p w:rsidR="00382584" w:rsidRDefault="00382584" w:rsidP="00382584">
            <w:pPr>
              <w:spacing w:after="0" w:line="240" w:lineRule="auto"/>
              <w:jc w:val="both"/>
              <w:rPr>
                <w:rFonts w:ascii="Palatino Linotype" w:hAnsi="Palatino Linotype" w:cs="Arial"/>
                <w:sz w:val="24"/>
                <w:szCs w:val="24"/>
              </w:rPr>
            </w:pPr>
          </w:p>
          <w:p w:rsidR="00382584" w:rsidRDefault="00382584" w:rsidP="00382584">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De esta manera, </w:t>
            </w:r>
            <w:r w:rsidR="00C40401" w:rsidRPr="00C33CF4">
              <w:rPr>
                <w:rFonts w:ascii="Palatino Linotype" w:hAnsi="Palatino Linotype" w:cs="Arial"/>
                <w:sz w:val="24"/>
                <w:szCs w:val="24"/>
              </w:rPr>
              <w:t>es necesario d</w:t>
            </w:r>
            <w:r w:rsidR="0069374C" w:rsidRPr="00C33CF4">
              <w:rPr>
                <w:rFonts w:ascii="Palatino Linotype" w:hAnsi="Palatino Linotype" w:cs="Arial"/>
                <w:sz w:val="24"/>
                <w:szCs w:val="24"/>
              </w:rPr>
              <w:t>esarroll</w:t>
            </w:r>
            <w:r w:rsidR="00C40401" w:rsidRPr="00C33CF4">
              <w:rPr>
                <w:rFonts w:ascii="Palatino Linotype" w:hAnsi="Palatino Linotype" w:cs="Arial"/>
                <w:sz w:val="24"/>
                <w:szCs w:val="24"/>
              </w:rPr>
              <w:t xml:space="preserve">ar </w:t>
            </w:r>
            <w:r w:rsidR="0069374C" w:rsidRPr="00C33CF4">
              <w:rPr>
                <w:rFonts w:ascii="Palatino Linotype" w:hAnsi="Palatino Linotype" w:cs="Arial"/>
                <w:sz w:val="24"/>
                <w:szCs w:val="24"/>
              </w:rPr>
              <w:t xml:space="preserve">pautas para </w:t>
            </w:r>
            <w:r w:rsidR="00C40401" w:rsidRPr="00C33CF4">
              <w:rPr>
                <w:rFonts w:ascii="Palatino Linotype" w:hAnsi="Palatino Linotype" w:cs="Arial"/>
                <w:sz w:val="24"/>
                <w:szCs w:val="24"/>
              </w:rPr>
              <w:t>identificar</w:t>
            </w:r>
            <w:r>
              <w:rPr>
                <w:rFonts w:ascii="Palatino Linotype" w:hAnsi="Palatino Linotype" w:cs="Arial"/>
                <w:sz w:val="24"/>
                <w:szCs w:val="24"/>
              </w:rPr>
              <w:t xml:space="preserve"> cuá</w:t>
            </w:r>
            <w:r w:rsidR="0069374C" w:rsidRPr="00C33CF4">
              <w:rPr>
                <w:rFonts w:ascii="Palatino Linotype" w:hAnsi="Palatino Linotype" w:cs="Arial"/>
                <w:sz w:val="24"/>
                <w:szCs w:val="24"/>
              </w:rPr>
              <w:t>ndo nos encontramos frente a un abuso del derecho de acceso y cu</w:t>
            </w:r>
            <w:r>
              <w:rPr>
                <w:rFonts w:ascii="Palatino Linotype" w:hAnsi="Palatino Linotype" w:cs="Arial"/>
                <w:sz w:val="24"/>
                <w:szCs w:val="24"/>
              </w:rPr>
              <w:t>á</w:t>
            </w:r>
            <w:r w:rsidR="0069374C" w:rsidRPr="00C33CF4">
              <w:rPr>
                <w:rFonts w:ascii="Palatino Linotype" w:hAnsi="Palatino Linotype" w:cs="Arial"/>
                <w:sz w:val="24"/>
                <w:szCs w:val="24"/>
              </w:rPr>
              <w:t xml:space="preserve">ndo frente a </w:t>
            </w:r>
            <w:r>
              <w:rPr>
                <w:rFonts w:ascii="Palatino Linotype" w:hAnsi="Palatino Linotype" w:cs="Arial"/>
                <w:sz w:val="24"/>
                <w:szCs w:val="24"/>
              </w:rPr>
              <w:t xml:space="preserve">su </w:t>
            </w:r>
            <w:r w:rsidR="0069374C" w:rsidRPr="00C33CF4">
              <w:rPr>
                <w:rFonts w:ascii="Palatino Linotype" w:hAnsi="Palatino Linotype" w:cs="Arial"/>
                <w:sz w:val="24"/>
                <w:szCs w:val="24"/>
              </w:rPr>
              <w:t xml:space="preserve">ejercicio legítimo, </w:t>
            </w:r>
            <w:r>
              <w:rPr>
                <w:rFonts w:ascii="Palatino Linotype" w:hAnsi="Palatino Linotype" w:cs="Arial"/>
                <w:sz w:val="24"/>
                <w:szCs w:val="24"/>
              </w:rPr>
              <w:t xml:space="preserve">a fin de evitar restricciones arbitrarias al ejercicio de este derecho fundamental. </w:t>
            </w:r>
          </w:p>
          <w:p w:rsidR="00E01B26" w:rsidRPr="00C33CF4" w:rsidRDefault="00E01B26" w:rsidP="00382584">
            <w:pPr>
              <w:spacing w:after="0" w:line="240" w:lineRule="auto"/>
              <w:jc w:val="both"/>
              <w:rPr>
                <w:rFonts w:ascii="Palatino Linotype" w:hAnsi="Palatino Linotype" w:cs="Arial"/>
                <w:sz w:val="24"/>
                <w:szCs w:val="24"/>
              </w:rPr>
            </w:pPr>
          </w:p>
        </w:tc>
      </w:tr>
      <w:tr w:rsidR="00522F6E" w:rsidRPr="00AD19ED" w:rsidTr="00882082">
        <w:tc>
          <w:tcPr>
            <w:tcW w:w="2093" w:type="dxa"/>
            <w:shd w:val="clear" w:color="auto" w:fill="auto"/>
          </w:tcPr>
          <w:p w:rsidR="00882082" w:rsidRPr="00AD19ED" w:rsidRDefault="00882082" w:rsidP="00882082">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b/>
                <w:sz w:val="24"/>
                <w:szCs w:val="24"/>
                <w:lang w:val="es-MX"/>
              </w:rPr>
              <w:lastRenderedPageBreak/>
              <w:t xml:space="preserve">Consideraciones </w:t>
            </w:r>
          </w:p>
          <w:p w:rsidR="00522F6E" w:rsidRPr="00AD19ED" w:rsidRDefault="00882082" w:rsidP="0033112F">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sz w:val="24"/>
                <w:szCs w:val="24"/>
                <w:lang w:val="es-MX"/>
              </w:rPr>
              <w:t>(Posición sobre el tema)</w:t>
            </w:r>
          </w:p>
        </w:tc>
        <w:tc>
          <w:tcPr>
            <w:tcW w:w="6885" w:type="dxa"/>
            <w:shd w:val="clear" w:color="auto" w:fill="auto"/>
          </w:tcPr>
          <w:p w:rsidR="0025190F" w:rsidRPr="00C33CF4" w:rsidRDefault="008506FB" w:rsidP="00C33CF4">
            <w:pPr>
              <w:spacing w:after="0" w:line="240" w:lineRule="auto"/>
              <w:jc w:val="both"/>
              <w:rPr>
                <w:rFonts w:ascii="Palatino Linotype" w:eastAsia="Times New Roman" w:hAnsi="Palatino Linotype" w:cs="Arial"/>
                <w:sz w:val="24"/>
                <w:szCs w:val="24"/>
                <w:lang w:val="es-MX" w:eastAsia="es-ES"/>
              </w:rPr>
            </w:pPr>
            <w:r w:rsidRPr="00C33CF4">
              <w:rPr>
                <w:rFonts w:ascii="Palatino Linotype" w:eastAsia="Times New Roman" w:hAnsi="Palatino Linotype" w:cs="Arial"/>
                <w:sz w:val="24"/>
                <w:szCs w:val="24"/>
                <w:lang w:val="es-MX" w:eastAsia="es-ES"/>
              </w:rPr>
              <w:t>L</w:t>
            </w:r>
            <w:r w:rsidR="00C23470" w:rsidRPr="00C33CF4">
              <w:rPr>
                <w:rFonts w:ascii="Palatino Linotype" w:eastAsia="Times New Roman" w:hAnsi="Palatino Linotype" w:cs="Arial"/>
                <w:sz w:val="24"/>
                <w:szCs w:val="24"/>
                <w:lang w:val="es-MX" w:eastAsia="es-ES"/>
              </w:rPr>
              <w:t>a norma</w:t>
            </w:r>
            <w:r w:rsidR="00382584">
              <w:rPr>
                <w:rFonts w:ascii="Palatino Linotype" w:eastAsia="Times New Roman" w:hAnsi="Palatino Linotype" w:cs="Arial"/>
                <w:sz w:val="24"/>
                <w:szCs w:val="24"/>
                <w:lang w:val="es-MX" w:eastAsia="es-ES"/>
              </w:rPr>
              <w:t xml:space="preserve">tiva sobre la materia no ha </w:t>
            </w:r>
            <w:r w:rsidRPr="00C33CF4">
              <w:rPr>
                <w:rFonts w:ascii="Palatino Linotype" w:eastAsia="Times New Roman" w:hAnsi="Palatino Linotype" w:cs="Arial"/>
                <w:sz w:val="24"/>
                <w:szCs w:val="24"/>
                <w:lang w:val="es-MX" w:eastAsia="es-ES"/>
              </w:rPr>
              <w:t xml:space="preserve">previsto </w:t>
            </w:r>
            <w:r w:rsidR="00382584">
              <w:rPr>
                <w:rFonts w:ascii="Palatino Linotype" w:eastAsia="Times New Roman" w:hAnsi="Palatino Linotype" w:cs="Arial"/>
                <w:sz w:val="24"/>
                <w:szCs w:val="24"/>
                <w:lang w:val="es-MX" w:eastAsia="es-ES"/>
              </w:rPr>
              <w:t>e</w:t>
            </w:r>
            <w:r w:rsidR="00A15520" w:rsidRPr="00C33CF4">
              <w:rPr>
                <w:rFonts w:ascii="Palatino Linotype" w:eastAsia="Times New Roman" w:hAnsi="Palatino Linotype" w:cs="Arial"/>
                <w:sz w:val="24"/>
                <w:szCs w:val="24"/>
                <w:lang w:val="es-MX" w:eastAsia="es-ES"/>
              </w:rPr>
              <w:t xml:space="preserve">l abuso del derecho </w:t>
            </w:r>
            <w:r w:rsidR="00382584" w:rsidRPr="00C33CF4">
              <w:rPr>
                <w:rFonts w:ascii="Palatino Linotype" w:hAnsi="Palatino Linotype" w:cs="Arial"/>
                <w:sz w:val="24"/>
                <w:szCs w:val="24"/>
              </w:rPr>
              <w:t xml:space="preserve">como supuesto </w:t>
            </w:r>
            <w:r w:rsidR="00382584">
              <w:rPr>
                <w:rFonts w:ascii="Palatino Linotype" w:hAnsi="Palatino Linotype" w:cs="Arial"/>
                <w:sz w:val="24"/>
                <w:szCs w:val="24"/>
              </w:rPr>
              <w:t>que justifique la n</w:t>
            </w:r>
            <w:r w:rsidR="00382584" w:rsidRPr="00C33CF4">
              <w:rPr>
                <w:rFonts w:ascii="Palatino Linotype" w:hAnsi="Palatino Linotype" w:cs="Arial"/>
                <w:sz w:val="24"/>
                <w:szCs w:val="24"/>
              </w:rPr>
              <w:t>egativa</w:t>
            </w:r>
            <w:r w:rsidR="00382584">
              <w:rPr>
                <w:rFonts w:ascii="Palatino Linotype" w:hAnsi="Palatino Linotype" w:cs="Arial"/>
                <w:sz w:val="24"/>
                <w:szCs w:val="24"/>
              </w:rPr>
              <w:t xml:space="preserve"> a la solicitud de acceso</w:t>
            </w:r>
            <w:r w:rsidR="0051444B" w:rsidRPr="00C33CF4">
              <w:rPr>
                <w:rFonts w:ascii="Palatino Linotype" w:eastAsia="Times New Roman" w:hAnsi="Palatino Linotype" w:cs="Arial"/>
                <w:sz w:val="24"/>
                <w:szCs w:val="24"/>
                <w:lang w:val="es-MX" w:eastAsia="es-ES"/>
              </w:rPr>
              <w:t>.</w:t>
            </w:r>
          </w:p>
          <w:p w:rsidR="00A15520" w:rsidRPr="00C33CF4" w:rsidRDefault="00A15520" w:rsidP="00C33CF4">
            <w:pPr>
              <w:spacing w:after="0" w:line="240" w:lineRule="auto"/>
              <w:jc w:val="both"/>
              <w:rPr>
                <w:rFonts w:ascii="Palatino Linotype" w:eastAsia="Times New Roman" w:hAnsi="Palatino Linotype" w:cs="Arial"/>
                <w:sz w:val="24"/>
                <w:szCs w:val="24"/>
                <w:lang w:val="es-MX" w:eastAsia="es-ES"/>
              </w:rPr>
            </w:pPr>
          </w:p>
          <w:p w:rsidR="00F07CF9" w:rsidRPr="00C33CF4" w:rsidRDefault="0025190F" w:rsidP="00C33CF4">
            <w:pPr>
              <w:spacing w:after="0" w:line="240" w:lineRule="auto"/>
              <w:jc w:val="both"/>
              <w:rPr>
                <w:rFonts w:ascii="Palatino Linotype" w:eastAsia="Times New Roman" w:hAnsi="Palatino Linotype" w:cs="Arial"/>
                <w:sz w:val="24"/>
                <w:szCs w:val="24"/>
                <w:lang w:eastAsia="es-ES"/>
              </w:rPr>
            </w:pPr>
            <w:r w:rsidRPr="00C33CF4">
              <w:rPr>
                <w:rFonts w:ascii="Palatino Linotype" w:eastAsia="Times New Roman" w:hAnsi="Palatino Linotype" w:cs="Arial"/>
                <w:sz w:val="24"/>
                <w:szCs w:val="24"/>
                <w:lang w:val="es-MX" w:eastAsia="es-ES"/>
              </w:rPr>
              <w:t>Al respecto, el</w:t>
            </w:r>
            <w:r w:rsidR="0095720B">
              <w:rPr>
                <w:rFonts w:ascii="Palatino Linotype" w:eastAsia="Times New Roman" w:hAnsi="Palatino Linotype" w:cs="Arial"/>
                <w:sz w:val="24"/>
                <w:szCs w:val="24"/>
                <w:lang w:val="es-MX" w:eastAsia="es-ES"/>
              </w:rPr>
              <w:t xml:space="preserve"> </w:t>
            </w:r>
            <w:r w:rsidR="00F07CF9" w:rsidRPr="00C33CF4">
              <w:rPr>
                <w:rFonts w:ascii="Palatino Linotype" w:eastAsia="Times New Roman" w:hAnsi="Palatino Linotype" w:cs="Arial"/>
                <w:sz w:val="24"/>
                <w:szCs w:val="24"/>
                <w:lang w:eastAsia="es-ES"/>
              </w:rPr>
              <w:t xml:space="preserve">Texto Único Ordenado de la Ley de Transparencia y Acceso a la Información Pública, Ley Nº 27806 (TUO de la LTAIP), </w:t>
            </w:r>
            <w:r w:rsidRPr="00C33CF4">
              <w:rPr>
                <w:rFonts w:ascii="Palatino Linotype" w:eastAsia="Times New Roman" w:hAnsi="Palatino Linotype" w:cs="Arial"/>
                <w:sz w:val="24"/>
                <w:szCs w:val="24"/>
                <w:lang w:eastAsia="es-ES"/>
              </w:rPr>
              <w:t xml:space="preserve">señala que </w:t>
            </w:r>
            <w:r w:rsidR="00382584">
              <w:rPr>
                <w:rFonts w:ascii="Palatino Linotype" w:eastAsia="Times New Roman" w:hAnsi="Palatino Linotype" w:cs="Arial"/>
                <w:sz w:val="24"/>
                <w:szCs w:val="24"/>
                <w:lang w:eastAsia="es-ES"/>
              </w:rPr>
              <w:t xml:space="preserve">únicamente </w:t>
            </w:r>
            <w:r w:rsidRPr="00C33CF4">
              <w:rPr>
                <w:rFonts w:ascii="Palatino Linotype" w:eastAsia="Times New Roman" w:hAnsi="Palatino Linotype" w:cs="Arial"/>
                <w:sz w:val="24"/>
                <w:szCs w:val="24"/>
                <w:lang w:eastAsia="es-ES"/>
              </w:rPr>
              <w:t xml:space="preserve">caben tres supuestos </w:t>
            </w:r>
            <w:r w:rsidR="00F07CF9" w:rsidRPr="00C33CF4">
              <w:rPr>
                <w:rFonts w:ascii="Palatino Linotype" w:eastAsia="Times New Roman" w:hAnsi="Palatino Linotype" w:cs="Arial"/>
                <w:sz w:val="24"/>
                <w:szCs w:val="24"/>
                <w:lang w:eastAsia="es-ES"/>
              </w:rPr>
              <w:t>para negar el acceso a la información:</w:t>
            </w:r>
          </w:p>
          <w:p w:rsidR="00F07CF9" w:rsidRPr="00C33CF4" w:rsidRDefault="00F07CF9" w:rsidP="00C33CF4">
            <w:pPr>
              <w:spacing w:after="0" w:line="240" w:lineRule="auto"/>
              <w:jc w:val="both"/>
              <w:rPr>
                <w:rFonts w:ascii="Palatino Linotype" w:eastAsia="Times New Roman" w:hAnsi="Palatino Linotype" w:cs="Arial"/>
                <w:b/>
                <w:bCs/>
                <w:sz w:val="24"/>
                <w:szCs w:val="24"/>
                <w:lang w:val="es-PE" w:eastAsia="es-ES"/>
              </w:rPr>
            </w:pPr>
          </w:p>
          <w:p w:rsidR="00F07CF9" w:rsidRPr="00C33CF4" w:rsidRDefault="00F07CF9" w:rsidP="00C33CF4">
            <w:pPr>
              <w:spacing w:after="0" w:line="240" w:lineRule="auto"/>
              <w:jc w:val="both"/>
              <w:rPr>
                <w:rFonts w:ascii="Palatino Linotype" w:eastAsia="Times New Roman" w:hAnsi="Palatino Linotype" w:cs="Arial"/>
                <w:sz w:val="24"/>
                <w:szCs w:val="24"/>
                <w:lang w:val="es-MX" w:eastAsia="es-ES"/>
              </w:rPr>
            </w:pPr>
            <w:r w:rsidRPr="00C33CF4">
              <w:rPr>
                <w:rFonts w:ascii="Palatino Linotype" w:eastAsia="Times New Roman" w:hAnsi="Palatino Linotype" w:cs="Arial"/>
                <w:sz w:val="24"/>
                <w:szCs w:val="24"/>
                <w:lang w:val="es-MX" w:eastAsia="es-ES"/>
              </w:rPr>
              <w:t xml:space="preserve">a) Cuando </w:t>
            </w:r>
            <w:r w:rsidRPr="00C33CF4">
              <w:rPr>
                <w:rFonts w:ascii="Palatino Linotype" w:eastAsia="Times New Roman" w:hAnsi="Palatino Linotype" w:cs="Arial"/>
                <w:b/>
                <w:bCs/>
                <w:sz w:val="24"/>
                <w:szCs w:val="24"/>
                <w:lang w:val="es-MX" w:eastAsia="es-ES"/>
              </w:rPr>
              <w:t>no se cuenta o no se tenga la obligación de contar</w:t>
            </w:r>
            <w:r w:rsidRPr="00C33CF4">
              <w:rPr>
                <w:rFonts w:ascii="Palatino Linotype" w:eastAsia="Times New Roman" w:hAnsi="Palatino Linotype" w:cs="Arial"/>
                <w:sz w:val="24"/>
                <w:szCs w:val="24"/>
                <w:lang w:val="es-MX" w:eastAsia="es-ES"/>
              </w:rPr>
              <w:t xml:space="preserve"> con la información al momento de efectuarse el pedido (Artículo 13 </w:t>
            </w:r>
            <w:r w:rsidRPr="00C33CF4">
              <w:rPr>
                <w:rFonts w:ascii="Palatino Linotype" w:eastAsia="Times New Roman" w:hAnsi="Palatino Linotype" w:cs="Arial"/>
                <w:sz w:val="24"/>
                <w:szCs w:val="24"/>
                <w:lang w:eastAsia="es-ES"/>
              </w:rPr>
              <w:t>TUO de la LTAIP</w:t>
            </w:r>
            <w:r w:rsidRPr="00C33CF4">
              <w:rPr>
                <w:rFonts w:ascii="Palatino Linotype" w:eastAsia="Times New Roman" w:hAnsi="Palatino Linotype" w:cs="Arial"/>
                <w:sz w:val="24"/>
                <w:szCs w:val="24"/>
                <w:lang w:val="es-MX" w:eastAsia="es-ES"/>
              </w:rPr>
              <w:t>).</w:t>
            </w:r>
          </w:p>
          <w:p w:rsidR="00F07CF9" w:rsidRPr="00C33CF4" w:rsidRDefault="00F07CF9" w:rsidP="00C33CF4">
            <w:pPr>
              <w:spacing w:after="0" w:line="240" w:lineRule="auto"/>
              <w:jc w:val="both"/>
              <w:rPr>
                <w:rFonts w:ascii="Palatino Linotype" w:eastAsia="Times New Roman" w:hAnsi="Palatino Linotype" w:cs="Arial"/>
                <w:sz w:val="24"/>
                <w:szCs w:val="24"/>
                <w:lang w:eastAsia="es-ES"/>
              </w:rPr>
            </w:pPr>
          </w:p>
          <w:p w:rsidR="00F07CF9" w:rsidRPr="00C33CF4" w:rsidRDefault="00F07CF9" w:rsidP="00C33CF4">
            <w:pPr>
              <w:spacing w:after="0" w:line="240" w:lineRule="auto"/>
              <w:jc w:val="both"/>
              <w:rPr>
                <w:rFonts w:ascii="Palatino Linotype" w:eastAsia="Times New Roman" w:hAnsi="Palatino Linotype" w:cs="Arial"/>
                <w:sz w:val="24"/>
                <w:szCs w:val="24"/>
                <w:lang w:eastAsia="es-ES"/>
              </w:rPr>
            </w:pPr>
            <w:r w:rsidRPr="00C33CF4">
              <w:rPr>
                <w:rFonts w:ascii="Palatino Linotype" w:eastAsia="Times New Roman" w:hAnsi="Palatino Linotype" w:cs="Arial"/>
                <w:sz w:val="24"/>
                <w:szCs w:val="24"/>
                <w:lang w:val="es-MX" w:eastAsia="es-ES"/>
              </w:rPr>
              <w:t xml:space="preserve">b) Cuando la información se tenga que </w:t>
            </w:r>
            <w:r w:rsidRPr="00C33CF4">
              <w:rPr>
                <w:rFonts w:ascii="Palatino Linotype" w:eastAsia="Times New Roman" w:hAnsi="Palatino Linotype" w:cs="Arial"/>
                <w:b/>
                <w:bCs/>
                <w:sz w:val="24"/>
                <w:szCs w:val="24"/>
                <w:lang w:val="es-MX" w:eastAsia="es-ES"/>
              </w:rPr>
              <w:t>crear o producir</w:t>
            </w:r>
            <w:r w:rsidR="0025190F" w:rsidRPr="00C33CF4">
              <w:rPr>
                <w:rFonts w:ascii="Palatino Linotype" w:eastAsia="Times New Roman" w:hAnsi="Palatino Linotype" w:cs="Arial"/>
                <w:b/>
                <w:bCs/>
                <w:sz w:val="24"/>
                <w:szCs w:val="24"/>
                <w:lang w:val="es-MX" w:eastAsia="es-ES"/>
              </w:rPr>
              <w:t>.</w:t>
            </w:r>
            <w:r w:rsidR="0025190F" w:rsidRPr="00C33CF4">
              <w:rPr>
                <w:rFonts w:ascii="Palatino Linotype" w:eastAsia="Times New Roman" w:hAnsi="Palatino Linotype" w:cs="Arial"/>
                <w:sz w:val="24"/>
                <w:szCs w:val="24"/>
                <w:lang w:val="es-MX" w:eastAsia="es-ES"/>
              </w:rPr>
              <w:t>Como por ejemplo: e</w:t>
            </w:r>
            <w:r w:rsidRPr="00C33CF4">
              <w:rPr>
                <w:rFonts w:ascii="Palatino Linotype" w:eastAsia="Times New Roman" w:hAnsi="Palatino Linotype" w:cs="Arial"/>
                <w:sz w:val="24"/>
                <w:szCs w:val="24"/>
                <w:lang w:val="es-MX" w:eastAsia="es-ES"/>
              </w:rPr>
              <w:t xml:space="preserve">valuaciones o análisis de la información que posean, cuadros estadísticos (Artículo 13 </w:t>
            </w:r>
            <w:r w:rsidRPr="00C33CF4">
              <w:rPr>
                <w:rFonts w:ascii="Palatino Linotype" w:eastAsia="Times New Roman" w:hAnsi="Palatino Linotype" w:cs="Arial"/>
                <w:sz w:val="24"/>
                <w:szCs w:val="24"/>
                <w:lang w:eastAsia="es-ES"/>
              </w:rPr>
              <w:t>TUO de la LTAIP</w:t>
            </w:r>
            <w:r w:rsidRPr="00C33CF4">
              <w:rPr>
                <w:rFonts w:ascii="Palatino Linotype" w:eastAsia="Times New Roman" w:hAnsi="Palatino Linotype" w:cs="Arial"/>
                <w:sz w:val="24"/>
                <w:szCs w:val="24"/>
                <w:lang w:val="es-MX" w:eastAsia="es-ES"/>
              </w:rPr>
              <w:t>)</w:t>
            </w:r>
            <w:r w:rsidR="0025190F" w:rsidRPr="00C33CF4">
              <w:rPr>
                <w:rFonts w:ascii="Palatino Linotype" w:eastAsia="Times New Roman" w:hAnsi="Palatino Linotype" w:cs="Arial"/>
                <w:sz w:val="24"/>
                <w:szCs w:val="24"/>
                <w:lang w:val="es-MX" w:eastAsia="es-ES"/>
              </w:rPr>
              <w:t>.</w:t>
            </w:r>
          </w:p>
          <w:p w:rsidR="00F07CF9" w:rsidRPr="00C33CF4" w:rsidRDefault="00F07CF9" w:rsidP="00C33CF4">
            <w:pPr>
              <w:spacing w:after="0" w:line="240" w:lineRule="auto"/>
              <w:jc w:val="both"/>
              <w:rPr>
                <w:rFonts w:ascii="Palatino Linotype" w:eastAsia="Times New Roman" w:hAnsi="Palatino Linotype" w:cs="Arial"/>
                <w:sz w:val="24"/>
                <w:szCs w:val="24"/>
                <w:lang w:eastAsia="es-ES"/>
              </w:rPr>
            </w:pPr>
          </w:p>
          <w:p w:rsidR="00F07CF9" w:rsidRPr="00C33CF4" w:rsidRDefault="00F07CF9" w:rsidP="00C33CF4">
            <w:pPr>
              <w:spacing w:after="0" w:line="240" w:lineRule="auto"/>
              <w:jc w:val="both"/>
              <w:rPr>
                <w:rFonts w:ascii="Palatino Linotype" w:eastAsia="Times New Roman" w:hAnsi="Palatino Linotype" w:cs="Arial"/>
                <w:sz w:val="24"/>
                <w:szCs w:val="24"/>
                <w:lang w:val="es-MX" w:eastAsia="es-ES"/>
              </w:rPr>
            </w:pPr>
            <w:r w:rsidRPr="00C33CF4">
              <w:rPr>
                <w:rFonts w:ascii="Palatino Linotype" w:eastAsia="Times New Roman" w:hAnsi="Palatino Linotype" w:cs="Arial"/>
                <w:sz w:val="24"/>
                <w:szCs w:val="24"/>
                <w:lang w:val="es-MX" w:eastAsia="es-ES"/>
              </w:rPr>
              <w:t xml:space="preserve">c) Se presenta alguna </w:t>
            </w:r>
            <w:r w:rsidRPr="00C33CF4">
              <w:rPr>
                <w:rFonts w:ascii="Palatino Linotype" w:eastAsia="Times New Roman" w:hAnsi="Palatino Linotype" w:cs="Arial"/>
                <w:b/>
                <w:bCs/>
                <w:sz w:val="24"/>
                <w:szCs w:val="24"/>
                <w:lang w:val="es-MX" w:eastAsia="es-ES"/>
              </w:rPr>
              <w:t xml:space="preserve">excepción </w:t>
            </w:r>
            <w:r w:rsidRPr="00C33CF4">
              <w:rPr>
                <w:rFonts w:ascii="Palatino Linotype" w:eastAsia="Times New Roman" w:hAnsi="Palatino Linotype" w:cs="Arial"/>
                <w:sz w:val="24"/>
                <w:szCs w:val="24"/>
                <w:lang w:val="es-MX" w:eastAsia="es-ES"/>
              </w:rPr>
              <w:t xml:space="preserve">al acceso a la información pública (Artículo 15 al 17 </w:t>
            </w:r>
            <w:r w:rsidRPr="00C33CF4">
              <w:rPr>
                <w:rFonts w:ascii="Palatino Linotype" w:eastAsia="Times New Roman" w:hAnsi="Palatino Linotype" w:cs="Arial"/>
                <w:sz w:val="24"/>
                <w:szCs w:val="24"/>
                <w:lang w:eastAsia="es-ES"/>
              </w:rPr>
              <w:t>TUO de la LTAIP</w:t>
            </w:r>
            <w:r w:rsidRPr="00C33CF4">
              <w:rPr>
                <w:rFonts w:ascii="Palatino Linotype" w:eastAsia="Times New Roman" w:hAnsi="Palatino Linotype" w:cs="Arial"/>
                <w:sz w:val="24"/>
                <w:szCs w:val="24"/>
                <w:lang w:val="es-MX" w:eastAsia="es-ES"/>
              </w:rPr>
              <w:t>)</w:t>
            </w:r>
            <w:r w:rsidR="0025190F" w:rsidRPr="00C33CF4">
              <w:rPr>
                <w:rFonts w:ascii="Palatino Linotype" w:eastAsia="Times New Roman" w:hAnsi="Palatino Linotype" w:cs="Arial"/>
                <w:sz w:val="24"/>
                <w:szCs w:val="24"/>
                <w:lang w:val="es-MX" w:eastAsia="es-ES"/>
              </w:rPr>
              <w:t>.</w:t>
            </w:r>
          </w:p>
          <w:p w:rsidR="00DB6B1D" w:rsidRPr="00C33CF4" w:rsidRDefault="00DB6B1D" w:rsidP="00C33CF4">
            <w:pPr>
              <w:spacing w:after="0" w:line="240" w:lineRule="auto"/>
              <w:jc w:val="both"/>
              <w:rPr>
                <w:rFonts w:ascii="Palatino Linotype" w:eastAsia="Times New Roman" w:hAnsi="Palatino Linotype" w:cs="Arial"/>
                <w:sz w:val="24"/>
                <w:szCs w:val="24"/>
                <w:lang w:val="es-MX" w:eastAsia="es-ES"/>
              </w:rPr>
            </w:pPr>
          </w:p>
          <w:p w:rsidR="00DB6B1D" w:rsidRPr="00C33CF4" w:rsidRDefault="0095720B" w:rsidP="00C33CF4">
            <w:pPr>
              <w:spacing w:after="0" w:line="240" w:lineRule="auto"/>
              <w:jc w:val="both"/>
              <w:rPr>
                <w:rFonts w:ascii="Palatino Linotype" w:hAnsi="Palatino Linotype" w:cs="Arial"/>
                <w:sz w:val="24"/>
                <w:szCs w:val="24"/>
              </w:rPr>
            </w:pPr>
            <w:r>
              <w:rPr>
                <w:rFonts w:ascii="Palatino Linotype" w:eastAsia="Times New Roman" w:hAnsi="Palatino Linotype" w:cs="Arial"/>
                <w:sz w:val="24"/>
                <w:szCs w:val="24"/>
                <w:lang w:val="es-MX" w:eastAsia="es-ES"/>
              </w:rPr>
              <w:t xml:space="preserve">Incluso, el </w:t>
            </w:r>
            <w:r w:rsidRPr="00C33CF4">
              <w:rPr>
                <w:rFonts w:ascii="Palatino Linotype" w:eastAsia="Times New Roman" w:hAnsi="Palatino Linotype" w:cs="Arial"/>
                <w:sz w:val="24"/>
                <w:szCs w:val="24"/>
                <w:lang w:eastAsia="es-ES"/>
              </w:rPr>
              <w:t>artículo</w:t>
            </w:r>
            <w:r w:rsidR="00DB6B1D" w:rsidRPr="00C33CF4">
              <w:rPr>
                <w:rFonts w:ascii="Palatino Linotype" w:eastAsia="Times New Roman" w:hAnsi="Palatino Linotype" w:cs="Arial"/>
                <w:sz w:val="24"/>
                <w:szCs w:val="24"/>
                <w:lang w:eastAsia="es-ES"/>
              </w:rPr>
              <w:t xml:space="preserve"> 10º </w:t>
            </w:r>
            <w:r w:rsidR="00F07CF9" w:rsidRPr="00C33CF4">
              <w:rPr>
                <w:rFonts w:ascii="Palatino Linotype" w:eastAsia="Times New Roman" w:hAnsi="Palatino Linotype" w:cs="Arial"/>
                <w:sz w:val="24"/>
                <w:szCs w:val="24"/>
                <w:lang w:eastAsia="es-ES"/>
              </w:rPr>
              <w:t xml:space="preserve">establece que </w:t>
            </w:r>
            <w:r w:rsidR="00DB6B1D" w:rsidRPr="00C33CF4">
              <w:rPr>
                <w:rFonts w:ascii="Palatino Linotype" w:eastAsia="Times New Roman" w:hAnsi="Palatino Linotype" w:cs="Arial"/>
                <w:sz w:val="24"/>
                <w:szCs w:val="24"/>
                <w:lang w:eastAsia="es-ES"/>
              </w:rPr>
              <w:t>l</w:t>
            </w:r>
            <w:r w:rsidR="00DB6B1D" w:rsidRPr="00C33CF4">
              <w:rPr>
                <w:rFonts w:ascii="Palatino Linotype" w:hAnsi="Palatino Linotype" w:cs="Arial"/>
                <w:sz w:val="24"/>
                <w:szCs w:val="24"/>
              </w:rPr>
              <w:t xml:space="preserve">as entidades de la Administración Pública tienen la </w:t>
            </w:r>
            <w:r w:rsidR="00DB6B1D" w:rsidRPr="00C33CF4">
              <w:rPr>
                <w:rFonts w:ascii="Palatino Linotype" w:hAnsi="Palatino Linotype" w:cs="Arial"/>
                <w:b/>
                <w:sz w:val="24"/>
                <w:szCs w:val="24"/>
              </w:rPr>
              <w:t xml:space="preserve">obligación de proveer la información </w:t>
            </w:r>
            <w:r w:rsidR="00F07CF9" w:rsidRPr="00C33CF4">
              <w:rPr>
                <w:rFonts w:ascii="Palatino Linotype" w:hAnsi="Palatino Linotype" w:cs="Arial"/>
                <w:b/>
                <w:sz w:val="24"/>
                <w:szCs w:val="24"/>
              </w:rPr>
              <w:t xml:space="preserve">que se les </w:t>
            </w:r>
            <w:r w:rsidR="0055094F" w:rsidRPr="00C33CF4">
              <w:rPr>
                <w:rFonts w:ascii="Palatino Linotype" w:hAnsi="Palatino Linotype" w:cs="Arial"/>
                <w:b/>
                <w:sz w:val="24"/>
                <w:szCs w:val="24"/>
              </w:rPr>
              <w:t>requiera</w:t>
            </w:r>
            <w:r w:rsidR="00F07CF9" w:rsidRPr="00C33CF4">
              <w:rPr>
                <w:rFonts w:ascii="Palatino Linotype" w:hAnsi="Palatino Linotype" w:cs="Arial"/>
                <w:sz w:val="24"/>
                <w:szCs w:val="24"/>
              </w:rPr>
              <w:t>, la cual puede estar c</w:t>
            </w:r>
            <w:r w:rsidR="00DB6B1D" w:rsidRPr="00C33CF4">
              <w:rPr>
                <w:rFonts w:ascii="Palatino Linotype" w:hAnsi="Palatino Linotype" w:cs="Arial"/>
                <w:sz w:val="24"/>
                <w:szCs w:val="24"/>
              </w:rPr>
              <w:t>ontenida en documentos escritos, fotografías, grabaciones, soporte magnético o digital, o en cualquier otro formato, siempre que haya sido creada u obtenida por ella o que se encuentre en</w:t>
            </w:r>
            <w:r w:rsidR="00F07CF9" w:rsidRPr="00C33CF4">
              <w:rPr>
                <w:rFonts w:ascii="Palatino Linotype" w:hAnsi="Palatino Linotype" w:cs="Arial"/>
                <w:sz w:val="24"/>
                <w:szCs w:val="24"/>
              </w:rPr>
              <w:t xml:space="preserve"> su posesión o bajo su control.</w:t>
            </w:r>
          </w:p>
          <w:p w:rsidR="00DB6B1D" w:rsidRPr="00C33CF4" w:rsidRDefault="00DB6B1D" w:rsidP="00C33CF4">
            <w:pPr>
              <w:spacing w:after="0" w:line="240" w:lineRule="auto"/>
              <w:jc w:val="both"/>
              <w:rPr>
                <w:rFonts w:ascii="Palatino Linotype" w:hAnsi="Palatino Linotype" w:cs="Arial"/>
                <w:i/>
                <w:sz w:val="24"/>
                <w:szCs w:val="24"/>
              </w:rPr>
            </w:pPr>
          </w:p>
          <w:p w:rsidR="00DB6B1D" w:rsidRPr="00C33CF4" w:rsidRDefault="00F07CF9" w:rsidP="00C33CF4">
            <w:pPr>
              <w:spacing w:after="0" w:line="240" w:lineRule="auto"/>
              <w:jc w:val="both"/>
              <w:rPr>
                <w:rFonts w:ascii="Palatino Linotype" w:hAnsi="Palatino Linotype" w:cs="Arial"/>
                <w:sz w:val="24"/>
                <w:szCs w:val="24"/>
              </w:rPr>
            </w:pPr>
            <w:r w:rsidRPr="00C33CF4">
              <w:rPr>
                <w:rFonts w:ascii="Palatino Linotype" w:hAnsi="Palatino Linotype" w:cs="Arial"/>
                <w:sz w:val="24"/>
                <w:szCs w:val="24"/>
              </w:rPr>
              <w:t>Asimismo,</w:t>
            </w:r>
            <w:r w:rsidR="008506FB" w:rsidRPr="00C33CF4">
              <w:rPr>
                <w:rFonts w:ascii="Palatino Linotype" w:hAnsi="Palatino Linotype" w:cs="Arial"/>
                <w:sz w:val="24"/>
                <w:szCs w:val="24"/>
              </w:rPr>
              <w:t xml:space="preserve"> es deber de la entidad pública </w:t>
            </w:r>
            <w:r w:rsidR="008506FB" w:rsidRPr="00C33CF4">
              <w:rPr>
                <w:rFonts w:ascii="Palatino Linotype" w:hAnsi="Palatino Linotype" w:cs="Arial"/>
                <w:b/>
                <w:sz w:val="24"/>
                <w:szCs w:val="24"/>
              </w:rPr>
              <w:t>dirigir “toda solicitud de información”</w:t>
            </w:r>
            <w:r w:rsidR="008506FB" w:rsidRPr="00C33CF4">
              <w:rPr>
                <w:rFonts w:ascii="Palatino Linotype" w:hAnsi="Palatino Linotype" w:cs="Arial"/>
                <w:sz w:val="24"/>
                <w:szCs w:val="24"/>
              </w:rPr>
              <w:t xml:space="preserve"> a</w:t>
            </w:r>
            <w:r w:rsidR="00DB6B1D" w:rsidRPr="00C33CF4">
              <w:rPr>
                <w:rFonts w:ascii="Palatino Linotype" w:hAnsi="Palatino Linotype" w:cs="Arial"/>
                <w:sz w:val="24"/>
                <w:szCs w:val="24"/>
              </w:rPr>
              <w:t>l funcionario responsable, como parte del proceso de acceso a la información de información pública</w:t>
            </w:r>
            <w:r w:rsidR="008506FB" w:rsidRPr="00C33CF4">
              <w:rPr>
                <w:rFonts w:ascii="Palatino Linotype" w:hAnsi="Palatino Linotype" w:cs="Arial"/>
                <w:sz w:val="24"/>
                <w:szCs w:val="24"/>
              </w:rPr>
              <w:t xml:space="preserve"> (Artículo 11</w:t>
            </w:r>
            <w:r w:rsidR="008506FB" w:rsidRPr="00C33CF4">
              <w:rPr>
                <w:rFonts w:ascii="Palatino Linotype" w:eastAsia="Times New Roman" w:hAnsi="Palatino Linotype" w:cs="Arial"/>
                <w:sz w:val="24"/>
                <w:szCs w:val="24"/>
                <w:lang w:eastAsia="es-ES"/>
              </w:rPr>
              <w:t xml:space="preserve"> TUO de la LTAIP).</w:t>
            </w:r>
          </w:p>
          <w:p w:rsidR="008506FB" w:rsidRPr="00C33CF4" w:rsidRDefault="008506FB" w:rsidP="00C33CF4">
            <w:pPr>
              <w:spacing w:after="0" w:line="240" w:lineRule="auto"/>
              <w:jc w:val="both"/>
              <w:rPr>
                <w:rFonts w:ascii="Palatino Linotype" w:eastAsia="Times New Roman" w:hAnsi="Palatino Linotype" w:cs="Arial"/>
                <w:sz w:val="24"/>
                <w:szCs w:val="24"/>
                <w:lang w:val="es-MX" w:eastAsia="es-ES"/>
              </w:rPr>
            </w:pPr>
          </w:p>
          <w:p w:rsidR="00F76D08" w:rsidRPr="00C33CF4" w:rsidRDefault="00382584" w:rsidP="00382584">
            <w:pPr>
              <w:spacing w:after="0"/>
              <w:jc w:val="both"/>
              <w:rPr>
                <w:rFonts w:ascii="Palatino Linotype" w:eastAsia="Times New Roman" w:hAnsi="Palatino Linotype" w:cs="Arial"/>
                <w:iCs/>
                <w:sz w:val="24"/>
                <w:szCs w:val="24"/>
              </w:rPr>
            </w:pPr>
            <w:r>
              <w:rPr>
                <w:rFonts w:ascii="Palatino Linotype" w:eastAsia="Times New Roman" w:hAnsi="Palatino Linotype" w:cs="Arial"/>
                <w:iCs/>
                <w:sz w:val="24"/>
                <w:szCs w:val="24"/>
              </w:rPr>
              <w:t xml:space="preserve">A la fecha </w:t>
            </w:r>
            <w:r w:rsidR="00F76D08" w:rsidRPr="00C33CF4">
              <w:rPr>
                <w:rFonts w:ascii="Palatino Linotype" w:eastAsia="Times New Roman" w:hAnsi="Palatino Linotype" w:cs="Arial"/>
                <w:iCs/>
                <w:sz w:val="24"/>
                <w:szCs w:val="24"/>
              </w:rPr>
              <w:t xml:space="preserve">no se cuenta con sentencias del Tribunal Constitucional que </w:t>
            </w:r>
            <w:r>
              <w:rPr>
                <w:rFonts w:ascii="Palatino Linotype" w:eastAsia="Times New Roman" w:hAnsi="Palatino Linotype" w:cs="Arial"/>
                <w:iCs/>
                <w:sz w:val="24"/>
                <w:szCs w:val="24"/>
              </w:rPr>
              <w:t xml:space="preserve">justifiquen la restricción al derecho de acceso a la información público bajo el argumento de su ejercicio abusivo. </w:t>
            </w:r>
          </w:p>
        </w:tc>
      </w:tr>
      <w:tr w:rsidR="00522F6E" w:rsidRPr="00AD19ED" w:rsidTr="00882082">
        <w:tc>
          <w:tcPr>
            <w:tcW w:w="2093" w:type="dxa"/>
            <w:shd w:val="clear" w:color="auto" w:fill="auto"/>
          </w:tcPr>
          <w:p w:rsidR="0033112F" w:rsidRPr="00AD19ED" w:rsidRDefault="0033112F" w:rsidP="0033112F">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b/>
                <w:sz w:val="24"/>
                <w:szCs w:val="24"/>
                <w:lang w:val="es-MX"/>
              </w:rPr>
              <w:t xml:space="preserve">Áreas de oportunidad </w:t>
            </w:r>
          </w:p>
          <w:p w:rsidR="00522F6E" w:rsidRPr="00AD19ED" w:rsidRDefault="00882082" w:rsidP="0033112F">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sz w:val="24"/>
                <w:szCs w:val="24"/>
                <w:lang w:val="es-MX"/>
              </w:rPr>
              <w:t>(</w:t>
            </w:r>
            <w:r w:rsidR="0033112F" w:rsidRPr="00AD19ED">
              <w:rPr>
                <w:rFonts w:ascii="Palatino Linotype" w:eastAsia="Calibri" w:hAnsi="Palatino Linotype" w:cs="Times New Roman"/>
                <w:sz w:val="24"/>
                <w:szCs w:val="24"/>
                <w:lang w:val="es-MX"/>
              </w:rPr>
              <w:t>¿Qué</w:t>
            </w:r>
            <w:r w:rsidRPr="00AD19ED">
              <w:rPr>
                <w:rFonts w:ascii="Palatino Linotype" w:eastAsia="Calibri" w:hAnsi="Palatino Linotype" w:cs="Times New Roman"/>
                <w:sz w:val="24"/>
                <w:szCs w:val="24"/>
                <w:lang w:val="es-MX"/>
              </w:rPr>
              <w:t xml:space="preserve"> hace falta para mejorar el derecho de acceso en el tema a discusión</w:t>
            </w:r>
            <w:r w:rsidR="0033112F" w:rsidRPr="00AD19ED">
              <w:rPr>
                <w:rFonts w:ascii="Palatino Linotype" w:eastAsia="Calibri" w:hAnsi="Palatino Linotype" w:cs="Times New Roman"/>
                <w:sz w:val="24"/>
                <w:szCs w:val="24"/>
                <w:lang w:val="es-MX"/>
              </w:rPr>
              <w:t>? – Nuevos Retos)</w:t>
            </w:r>
          </w:p>
        </w:tc>
        <w:tc>
          <w:tcPr>
            <w:tcW w:w="6885" w:type="dxa"/>
            <w:shd w:val="clear" w:color="auto" w:fill="auto"/>
          </w:tcPr>
          <w:p w:rsidR="007221B2" w:rsidRDefault="007221B2" w:rsidP="00C33CF4">
            <w:pPr>
              <w:spacing w:after="0" w:line="240" w:lineRule="auto"/>
              <w:jc w:val="both"/>
              <w:rPr>
                <w:rFonts w:ascii="Palatino Linotype" w:eastAsia="Times New Roman" w:hAnsi="Palatino Linotype" w:cs="Arial"/>
                <w:iCs/>
                <w:sz w:val="24"/>
                <w:szCs w:val="24"/>
                <w:lang w:val="es-PE"/>
              </w:rPr>
            </w:pPr>
          </w:p>
          <w:p w:rsidR="007221B2" w:rsidRPr="007221B2" w:rsidRDefault="007221B2" w:rsidP="008A18F0">
            <w:pPr>
              <w:pStyle w:val="Prrafodelista"/>
              <w:numPr>
                <w:ilvl w:val="0"/>
                <w:numId w:val="9"/>
              </w:numPr>
              <w:spacing w:after="0" w:line="240" w:lineRule="auto"/>
              <w:jc w:val="both"/>
              <w:rPr>
                <w:rFonts w:ascii="Palatino Linotype" w:eastAsia="Times New Roman" w:hAnsi="Palatino Linotype" w:cs="Arial"/>
                <w:iCs/>
                <w:sz w:val="24"/>
                <w:szCs w:val="24"/>
                <w:lang w:val="es-PE"/>
              </w:rPr>
            </w:pPr>
            <w:r w:rsidRPr="007221B2">
              <w:rPr>
                <w:rFonts w:ascii="Palatino Linotype" w:hAnsi="Palatino Linotype" w:cs="Arial"/>
                <w:sz w:val="24"/>
                <w:szCs w:val="24"/>
                <w:lang w:val="es-PE"/>
              </w:rPr>
              <w:t>D</w:t>
            </w:r>
            <w:r w:rsidRPr="007221B2">
              <w:rPr>
                <w:rFonts w:ascii="Palatino Linotype" w:hAnsi="Palatino Linotype" w:cs="Arial"/>
                <w:sz w:val="24"/>
                <w:szCs w:val="24"/>
              </w:rPr>
              <w:t xml:space="preserve">esarrollar pautas o criterios para identificar cuándo nos encontramos frente a un abuso del derecho de acceso a la información y cuándo frente a su ejercicio legítimo o regular. </w:t>
            </w:r>
            <w:bookmarkStart w:id="0" w:name="_GoBack"/>
            <w:bookmarkEnd w:id="0"/>
          </w:p>
          <w:p w:rsidR="007221B2" w:rsidRPr="007221B2" w:rsidRDefault="007221B2" w:rsidP="00E27254">
            <w:pPr>
              <w:pStyle w:val="Prrafodelista"/>
              <w:numPr>
                <w:ilvl w:val="0"/>
                <w:numId w:val="9"/>
              </w:numPr>
              <w:spacing w:after="0" w:line="240" w:lineRule="auto"/>
              <w:jc w:val="both"/>
              <w:rPr>
                <w:rFonts w:ascii="Palatino Linotype" w:eastAsia="Times New Roman" w:hAnsi="Palatino Linotype" w:cs="Arial"/>
                <w:iCs/>
                <w:sz w:val="24"/>
                <w:szCs w:val="24"/>
                <w:lang w:val="es-PE"/>
              </w:rPr>
            </w:pPr>
            <w:r w:rsidRPr="007221B2">
              <w:rPr>
                <w:rFonts w:ascii="Palatino Linotype" w:eastAsia="Times New Roman" w:hAnsi="Palatino Linotype" w:cs="Arial"/>
                <w:iCs/>
                <w:sz w:val="24"/>
                <w:szCs w:val="24"/>
                <w:lang w:val="es-PE"/>
              </w:rPr>
              <w:t>Determinar la pertinencia de que estos criterios sean incorporados en las legislaciones sobre transparencia y acceso a la información de los países miembro.</w:t>
            </w:r>
          </w:p>
          <w:p w:rsidR="007C2827" w:rsidRPr="00C33CF4" w:rsidRDefault="007C2827" w:rsidP="00C33CF4">
            <w:pPr>
              <w:suppressAutoHyphens/>
              <w:spacing w:after="0" w:line="240" w:lineRule="auto"/>
              <w:jc w:val="both"/>
              <w:rPr>
                <w:rFonts w:ascii="Palatino Linotype" w:eastAsia="Times New Roman" w:hAnsi="Palatino Linotype" w:cs="Arial"/>
                <w:iCs/>
                <w:sz w:val="24"/>
                <w:szCs w:val="24"/>
              </w:rPr>
            </w:pPr>
          </w:p>
        </w:tc>
      </w:tr>
      <w:tr w:rsidR="00522F6E" w:rsidRPr="00AD19ED" w:rsidTr="00882082">
        <w:tc>
          <w:tcPr>
            <w:tcW w:w="2093" w:type="dxa"/>
            <w:shd w:val="clear" w:color="auto" w:fill="auto"/>
          </w:tcPr>
          <w:p w:rsidR="00522F6E" w:rsidRPr="00AD19ED" w:rsidRDefault="00882082" w:rsidP="00882082">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b/>
                <w:sz w:val="24"/>
                <w:szCs w:val="24"/>
                <w:lang w:val="es-MX"/>
              </w:rPr>
              <w:t>Precedentes o criterios</w:t>
            </w:r>
          </w:p>
          <w:p w:rsidR="00882082" w:rsidRPr="00AD19ED" w:rsidRDefault="00882082" w:rsidP="00882082">
            <w:pPr>
              <w:spacing w:after="0" w:line="240" w:lineRule="auto"/>
              <w:jc w:val="center"/>
              <w:rPr>
                <w:rFonts w:ascii="Palatino Linotype" w:eastAsia="Calibri" w:hAnsi="Palatino Linotype" w:cs="Times New Roman"/>
                <w:sz w:val="24"/>
                <w:szCs w:val="24"/>
                <w:lang w:val="es-MX"/>
              </w:rPr>
            </w:pPr>
            <w:r w:rsidRPr="00AD19ED">
              <w:rPr>
                <w:rFonts w:ascii="Palatino Linotype" w:eastAsia="Calibri" w:hAnsi="Palatino Linotype" w:cs="Times New Roman"/>
                <w:sz w:val="24"/>
                <w:szCs w:val="24"/>
                <w:lang w:val="es-MX"/>
              </w:rPr>
              <w:t>(Cómo se ha resuelto el tema en su país)</w:t>
            </w:r>
          </w:p>
        </w:tc>
        <w:tc>
          <w:tcPr>
            <w:tcW w:w="6885" w:type="dxa"/>
            <w:shd w:val="clear" w:color="auto" w:fill="auto"/>
          </w:tcPr>
          <w:p w:rsidR="000F44FF" w:rsidRPr="00C33CF4" w:rsidRDefault="00C76C00" w:rsidP="00C33CF4">
            <w:pPr>
              <w:spacing w:after="0" w:line="240" w:lineRule="auto"/>
              <w:jc w:val="both"/>
              <w:rPr>
                <w:rFonts w:ascii="Palatino Linotype" w:eastAsia="Times New Roman" w:hAnsi="Palatino Linotype" w:cs="Arial"/>
                <w:iCs/>
                <w:sz w:val="24"/>
                <w:szCs w:val="24"/>
              </w:rPr>
            </w:pPr>
            <w:r w:rsidRPr="00C33CF4">
              <w:rPr>
                <w:rFonts w:ascii="Palatino Linotype" w:eastAsia="Times New Roman" w:hAnsi="Palatino Linotype" w:cs="Arial"/>
                <w:iCs/>
                <w:sz w:val="24"/>
                <w:szCs w:val="24"/>
              </w:rPr>
              <w:t xml:space="preserve">A la fecha, </w:t>
            </w:r>
            <w:r w:rsidR="0032748B" w:rsidRPr="00C33CF4">
              <w:rPr>
                <w:rFonts w:ascii="Palatino Linotype" w:eastAsia="Times New Roman" w:hAnsi="Palatino Linotype" w:cs="Arial"/>
                <w:iCs/>
                <w:sz w:val="24"/>
                <w:szCs w:val="24"/>
              </w:rPr>
              <w:t>no se cuentan con precedentes</w:t>
            </w:r>
            <w:r w:rsidR="005F5DCA" w:rsidRPr="00C33CF4">
              <w:rPr>
                <w:rFonts w:ascii="Palatino Linotype" w:eastAsia="Times New Roman" w:hAnsi="Palatino Linotype" w:cs="Arial"/>
                <w:iCs/>
                <w:sz w:val="24"/>
                <w:szCs w:val="24"/>
              </w:rPr>
              <w:t xml:space="preserve"> de</w:t>
            </w:r>
            <w:r w:rsidR="0032748B" w:rsidRPr="00C33CF4">
              <w:rPr>
                <w:rFonts w:ascii="Palatino Linotype" w:eastAsia="Times New Roman" w:hAnsi="Palatino Linotype" w:cs="Arial"/>
                <w:iCs/>
                <w:sz w:val="24"/>
                <w:szCs w:val="24"/>
              </w:rPr>
              <w:t xml:space="preserve">l Tribunal Constitucional </w:t>
            </w:r>
            <w:r w:rsidR="005F5DCA" w:rsidRPr="00C33CF4">
              <w:rPr>
                <w:rFonts w:ascii="Palatino Linotype" w:eastAsia="Times New Roman" w:hAnsi="Palatino Linotype" w:cs="Arial"/>
                <w:iCs/>
                <w:sz w:val="24"/>
                <w:szCs w:val="24"/>
              </w:rPr>
              <w:t xml:space="preserve">aplicados en un caso de abuso </w:t>
            </w:r>
            <w:r w:rsidR="0032748B" w:rsidRPr="00C33CF4">
              <w:rPr>
                <w:rFonts w:ascii="Palatino Linotype" w:eastAsia="Times New Roman" w:hAnsi="Palatino Linotype" w:cs="Arial"/>
                <w:iCs/>
                <w:sz w:val="24"/>
                <w:szCs w:val="24"/>
              </w:rPr>
              <w:t>del derecho de acceso a la información pública.</w:t>
            </w:r>
          </w:p>
        </w:tc>
      </w:tr>
    </w:tbl>
    <w:p w:rsidR="007C6560" w:rsidRPr="00AD19ED" w:rsidRDefault="007C6560" w:rsidP="004C26D7">
      <w:pPr>
        <w:spacing w:after="0" w:line="240" w:lineRule="auto"/>
        <w:jc w:val="both"/>
        <w:rPr>
          <w:rFonts w:ascii="Palatino Linotype" w:hAnsi="Palatino Linotype"/>
          <w:b/>
          <w:sz w:val="24"/>
          <w:szCs w:val="24"/>
        </w:rPr>
      </w:pPr>
    </w:p>
    <w:p w:rsidR="007C6560" w:rsidRPr="00AD19ED" w:rsidRDefault="007C6560" w:rsidP="007C6560">
      <w:pPr>
        <w:pStyle w:val="Prrafodelista"/>
        <w:spacing w:after="0" w:line="240" w:lineRule="auto"/>
        <w:jc w:val="both"/>
        <w:rPr>
          <w:rFonts w:ascii="Palatino Linotype" w:hAnsi="Palatino Linotype"/>
          <w:b/>
          <w:sz w:val="24"/>
          <w:szCs w:val="24"/>
        </w:rPr>
      </w:pPr>
    </w:p>
    <w:p w:rsidR="00E131FB" w:rsidRPr="00AD19ED" w:rsidRDefault="00E131FB" w:rsidP="00E131FB">
      <w:pPr>
        <w:pStyle w:val="Prrafodelista"/>
        <w:numPr>
          <w:ilvl w:val="0"/>
          <w:numId w:val="1"/>
        </w:numPr>
        <w:spacing w:after="0" w:line="240" w:lineRule="auto"/>
        <w:jc w:val="both"/>
        <w:rPr>
          <w:rFonts w:ascii="Palatino Linotype" w:hAnsi="Palatino Linotype"/>
          <w:b/>
          <w:sz w:val="24"/>
          <w:szCs w:val="24"/>
        </w:rPr>
      </w:pPr>
      <w:r w:rsidRPr="00AD19ED">
        <w:rPr>
          <w:rFonts w:ascii="Palatino Linotype" w:hAnsi="Palatino Linotype"/>
          <w:b/>
          <w:sz w:val="24"/>
          <w:szCs w:val="24"/>
        </w:rPr>
        <w:t>Procedimiento para las conclusiones</w:t>
      </w:r>
      <w:r w:rsidR="0033282F" w:rsidRPr="00AD19ED">
        <w:rPr>
          <w:rFonts w:ascii="Palatino Linotype" w:hAnsi="Palatino Linotype"/>
          <w:b/>
          <w:sz w:val="24"/>
          <w:szCs w:val="24"/>
        </w:rPr>
        <w:t>:</w:t>
      </w:r>
    </w:p>
    <w:p w:rsidR="00882082" w:rsidRPr="00AD19ED" w:rsidRDefault="00882082" w:rsidP="00882082">
      <w:pPr>
        <w:spacing w:after="0" w:line="240" w:lineRule="auto"/>
        <w:jc w:val="both"/>
        <w:rPr>
          <w:rFonts w:ascii="Palatino Linotype" w:hAnsi="Palatino Linotype"/>
          <w:b/>
          <w:sz w:val="24"/>
          <w:szCs w:val="24"/>
        </w:rPr>
      </w:pPr>
    </w:p>
    <w:p w:rsidR="00882082" w:rsidRPr="00AD19ED" w:rsidRDefault="00882082" w:rsidP="00882082">
      <w:pPr>
        <w:spacing w:after="0" w:line="240" w:lineRule="auto"/>
        <w:jc w:val="both"/>
        <w:rPr>
          <w:rFonts w:ascii="Palatino Linotype" w:hAnsi="Palatino Linotype"/>
          <w:sz w:val="24"/>
          <w:szCs w:val="24"/>
        </w:rPr>
      </w:pPr>
      <w:r w:rsidRPr="00AD19ED">
        <w:rPr>
          <w:rFonts w:ascii="Palatino Linotype" w:hAnsi="Palatino Linotype"/>
          <w:sz w:val="24"/>
          <w:szCs w:val="24"/>
        </w:rPr>
        <w:t xml:space="preserve">Una vez que se tenga la información </w:t>
      </w:r>
      <w:r w:rsidR="00F617EE" w:rsidRPr="00AD19ED">
        <w:rPr>
          <w:rFonts w:ascii="Palatino Linotype" w:hAnsi="Palatino Linotype"/>
          <w:sz w:val="24"/>
          <w:szCs w:val="24"/>
        </w:rPr>
        <w:t xml:space="preserve">de todos los países </w:t>
      </w:r>
      <w:r w:rsidRPr="00AD19ED">
        <w:rPr>
          <w:rFonts w:ascii="Palatino Linotype" w:hAnsi="Palatino Linotype"/>
          <w:sz w:val="24"/>
          <w:szCs w:val="24"/>
        </w:rPr>
        <w:t>en la página</w:t>
      </w:r>
      <w:r w:rsidR="00F617EE" w:rsidRPr="00AD19ED">
        <w:rPr>
          <w:rFonts w:ascii="Palatino Linotype" w:hAnsi="Palatino Linotype"/>
          <w:sz w:val="24"/>
          <w:szCs w:val="24"/>
        </w:rPr>
        <w:t xml:space="preserve"> –esto es en la fecha acordada para hacerlo-</w:t>
      </w:r>
      <w:r w:rsidRPr="00AD19ED">
        <w:rPr>
          <w:rFonts w:ascii="Palatino Linotype" w:hAnsi="Palatino Linotype"/>
          <w:sz w:val="24"/>
          <w:szCs w:val="24"/>
        </w:rPr>
        <w:t xml:space="preserve"> cada país deberá emitir sus propias conclusiones y proponer una conclusión general para el Grupo</w:t>
      </w:r>
      <w:r w:rsidR="00F617EE" w:rsidRPr="00AD19ED">
        <w:rPr>
          <w:rFonts w:ascii="Palatino Linotype" w:hAnsi="Palatino Linotype"/>
          <w:sz w:val="24"/>
          <w:szCs w:val="24"/>
        </w:rPr>
        <w:t xml:space="preserve"> de Jurisprudencia RTA</w:t>
      </w:r>
      <w:r w:rsidRPr="00AD19ED">
        <w:rPr>
          <w:rFonts w:ascii="Palatino Linotype" w:hAnsi="Palatino Linotype"/>
          <w:sz w:val="24"/>
          <w:szCs w:val="24"/>
        </w:rPr>
        <w:t>.</w:t>
      </w:r>
    </w:p>
    <w:p w:rsidR="00882082" w:rsidRPr="00AD19ED" w:rsidRDefault="00882082" w:rsidP="00882082">
      <w:pPr>
        <w:spacing w:after="0" w:line="240" w:lineRule="auto"/>
        <w:jc w:val="both"/>
        <w:rPr>
          <w:rFonts w:ascii="Palatino Linotype" w:hAnsi="Palatino Linotype"/>
          <w:sz w:val="24"/>
          <w:szCs w:val="24"/>
        </w:rPr>
      </w:pPr>
    </w:p>
    <w:p w:rsidR="00882082" w:rsidRPr="00AD19ED" w:rsidRDefault="00882082" w:rsidP="00882082">
      <w:pPr>
        <w:spacing w:after="0" w:line="240" w:lineRule="auto"/>
        <w:jc w:val="both"/>
        <w:rPr>
          <w:rFonts w:ascii="Palatino Linotype" w:hAnsi="Palatino Linotype"/>
          <w:sz w:val="24"/>
          <w:szCs w:val="24"/>
        </w:rPr>
      </w:pPr>
      <w:r w:rsidRPr="00AD19ED">
        <w:rPr>
          <w:rFonts w:ascii="Palatino Linotype" w:hAnsi="Palatino Linotype"/>
          <w:sz w:val="24"/>
          <w:szCs w:val="24"/>
        </w:rPr>
        <w:t>México, al ser el grupo líder</w:t>
      </w:r>
      <w:r w:rsidR="00F617EE" w:rsidRPr="00AD19ED">
        <w:rPr>
          <w:rFonts w:ascii="Palatino Linotype" w:hAnsi="Palatino Linotype"/>
          <w:sz w:val="24"/>
          <w:szCs w:val="24"/>
        </w:rPr>
        <w:t>,</w:t>
      </w:r>
      <w:r w:rsidRPr="00AD19ED">
        <w:rPr>
          <w:rFonts w:ascii="Palatino Linotype" w:hAnsi="Palatino Linotype"/>
          <w:sz w:val="24"/>
          <w:szCs w:val="24"/>
        </w:rPr>
        <w:t xml:space="preserve"> elaborará un análisis de todas las propuestas y emitirá un criterio </w:t>
      </w:r>
      <w:r w:rsidR="00F617EE" w:rsidRPr="00AD19ED">
        <w:rPr>
          <w:rFonts w:ascii="Palatino Linotype" w:hAnsi="Palatino Linotype"/>
          <w:sz w:val="24"/>
          <w:szCs w:val="24"/>
        </w:rPr>
        <w:t xml:space="preserve">único </w:t>
      </w:r>
      <w:r w:rsidRPr="00AD19ED">
        <w:rPr>
          <w:rFonts w:ascii="Palatino Linotype" w:hAnsi="Palatino Linotype"/>
          <w:sz w:val="24"/>
          <w:szCs w:val="24"/>
        </w:rPr>
        <w:t xml:space="preserve">que previamente enviará a los países miembros para </w:t>
      </w:r>
      <w:r w:rsidR="005E04AA" w:rsidRPr="00AD19ED">
        <w:rPr>
          <w:rFonts w:ascii="Palatino Linotype" w:hAnsi="Palatino Linotype"/>
          <w:sz w:val="24"/>
          <w:szCs w:val="24"/>
        </w:rPr>
        <w:t>reflejar la posición que tiene el grupo en ese tema</w:t>
      </w:r>
      <w:r w:rsidRPr="00AD19ED">
        <w:rPr>
          <w:rFonts w:ascii="Palatino Linotype" w:hAnsi="Palatino Linotype"/>
          <w:sz w:val="24"/>
          <w:szCs w:val="24"/>
        </w:rPr>
        <w:t xml:space="preserve">. Lo anterior, con independencia de que se publicará también en la página el criterio </w:t>
      </w:r>
      <w:r w:rsidR="00F617EE" w:rsidRPr="00AD19ED">
        <w:rPr>
          <w:rFonts w:ascii="Palatino Linotype" w:hAnsi="Palatino Linotype"/>
          <w:sz w:val="24"/>
          <w:szCs w:val="24"/>
        </w:rPr>
        <w:t>al que haya concluido cada país en lo individual.</w:t>
      </w:r>
    </w:p>
    <w:p w:rsidR="0033282F" w:rsidRPr="00AD19ED" w:rsidRDefault="0033282F" w:rsidP="0033282F">
      <w:pPr>
        <w:spacing w:after="0" w:line="240" w:lineRule="auto"/>
        <w:ind w:left="360"/>
        <w:jc w:val="both"/>
        <w:rPr>
          <w:rFonts w:ascii="Palatino Linotype" w:hAnsi="Palatino Linotype"/>
          <w:b/>
          <w:sz w:val="24"/>
          <w:szCs w:val="24"/>
        </w:rPr>
      </w:pPr>
    </w:p>
    <w:p w:rsidR="0033282F" w:rsidRPr="00AD19ED" w:rsidRDefault="0033282F" w:rsidP="0033282F">
      <w:pPr>
        <w:spacing w:after="0" w:line="240" w:lineRule="auto"/>
        <w:ind w:left="360"/>
        <w:jc w:val="both"/>
        <w:rPr>
          <w:rFonts w:ascii="Palatino Linotype" w:hAnsi="Palatino Linotype"/>
          <w:b/>
          <w:sz w:val="24"/>
          <w:szCs w:val="24"/>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93"/>
        <w:gridCol w:w="6885"/>
      </w:tblGrid>
      <w:tr w:rsidR="00882082" w:rsidRPr="00AD19ED" w:rsidTr="00882082">
        <w:tc>
          <w:tcPr>
            <w:tcW w:w="8978" w:type="dxa"/>
            <w:gridSpan w:val="2"/>
            <w:shd w:val="clear" w:color="auto" w:fill="auto"/>
          </w:tcPr>
          <w:p w:rsidR="00882082" w:rsidRPr="00AD19ED" w:rsidRDefault="00882082" w:rsidP="00882082">
            <w:pPr>
              <w:spacing w:after="0" w:line="240" w:lineRule="auto"/>
              <w:jc w:val="center"/>
              <w:rPr>
                <w:rFonts w:ascii="Palatino Linotype" w:eastAsia="Times New Roman" w:hAnsi="Palatino Linotype" w:cs="Arial"/>
                <w:b/>
                <w:iCs/>
                <w:sz w:val="24"/>
                <w:szCs w:val="24"/>
              </w:rPr>
            </w:pPr>
            <w:r w:rsidRPr="00AD19ED">
              <w:rPr>
                <w:rFonts w:ascii="Palatino Linotype" w:eastAsia="Calibri" w:hAnsi="Palatino Linotype" w:cs="Times New Roman"/>
                <w:b/>
                <w:sz w:val="24"/>
                <w:szCs w:val="24"/>
                <w:lang w:val="es-MX"/>
              </w:rPr>
              <w:t>“…” (Tema</w:t>
            </w:r>
            <w:r w:rsidR="005E04AA" w:rsidRPr="00AD19ED">
              <w:rPr>
                <w:rFonts w:ascii="Palatino Linotype" w:eastAsia="Calibri" w:hAnsi="Palatino Linotype" w:cs="Times New Roman"/>
                <w:b/>
                <w:sz w:val="24"/>
                <w:szCs w:val="24"/>
                <w:lang w:val="es-MX"/>
              </w:rPr>
              <w:t xml:space="preserve"> y subtema</w:t>
            </w:r>
            <w:r w:rsidRPr="00AD19ED">
              <w:rPr>
                <w:rFonts w:ascii="Palatino Linotype" w:eastAsia="Calibri" w:hAnsi="Palatino Linotype" w:cs="Times New Roman"/>
                <w:b/>
                <w:sz w:val="24"/>
                <w:szCs w:val="24"/>
                <w:lang w:val="es-MX"/>
              </w:rPr>
              <w:t>)</w:t>
            </w:r>
          </w:p>
        </w:tc>
      </w:tr>
      <w:tr w:rsidR="00882082" w:rsidRPr="00AD19ED" w:rsidTr="00882082">
        <w:tc>
          <w:tcPr>
            <w:tcW w:w="2093" w:type="dxa"/>
            <w:shd w:val="clear" w:color="auto" w:fill="auto"/>
          </w:tcPr>
          <w:p w:rsidR="00882082" w:rsidRPr="00AD19ED" w:rsidRDefault="00F617EE" w:rsidP="00882082">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b/>
                <w:sz w:val="24"/>
                <w:szCs w:val="24"/>
                <w:lang w:val="es-MX"/>
              </w:rPr>
              <w:t>Conclusiones por País</w:t>
            </w:r>
          </w:p>
        </w:tc>
        <w:tc>
          <w:tcPr>
            <w:tcW w:w="6885" w:type="dxa"/>
            <w:shd w:val="clear" w:color="auto" w:fill="auto"/>
          </w:tcPr>
          <w:p w:rsidR="00882082" w:rsidRPr="00AD19ED" w:rsidRDefault="00882082" w:rsidP="00882082">
            <w:pPr>
              <w:spacing w:after="0" w:line="240" w:lineRule="auto"/>
              <w:jc w:val="both"/>
              <w:rPr>
                <w:rFonts w:ascii="Palatino Linotype" w:eastAsia="Times New Roman" w:hAnsi="Palatino Linotype" w:cs="Arial"/>
                <w:iCs/>
                <w:sz w:val="24"/>
                <w:szCs w:val="24"/>
              </w:rPr>
            </w:pPr>
          </w:p>
        </w:tc>
      </w:tr>
      <w:tr w:rsidR="00882082" w:rsidRPr="00AD19ED" w:rsidTr="00882082">
        <w:tc>
          <w:tcPr>
            <w:tcW w:w="2093" w:type="dxa"/>
            <w:shd w:val="clear" w:color="auto" w:fill="auto"/>
          </w:tcPr>
          <w:p w:rsidR="00F617EE" w:rsidRPr="00AD19ED" w:rsidRDefault="00F617EE" w:rsidP="00882082">
            <w:pPr>
              <w:spacing w:after="0" w:line="240" w:lineRule="auto"/>
              <w:jc w:val="center"/>
              <w:rPr>
                <w:rFonts w:ascii="Palatino Linotype" w:eastAsia="Calibri" w:hAnsi="Palatino Linotype" w:cs="Times New Roman"/>
                <w:b/>
                <w:sz w:val="24"/>
                <w:szCs w:val="24"/>
                <w:lang w:val="es-MX"/>
              </w:rPr>
            </w:pPr>
            <w:r w:rsidRPr="00AD19ED">
              <w:rPr>
                <w:rFonts w:ascii="Palatino Linotype" w:eastAsia="Calibri" w:hAnsi="Palatino Linotype" w:cs="Times New Roman"/>
                <w:b/>
                <w:sz w:val="24"/>
                <w:szCs w:val="24"/>
                <w:lang w:val="es-MX"/>
              </w:rPr>
              <w:t>Criterio Propuesto</w:t>
            </w:r>
          </w:p>
          <w:p w:rsidR="00882082" w:rsidRPr="00AD19ED" w:rsidRDefault="00F617EE" w:rsidP="00882082">
            <w:pPr>
              <w:spacing w:after="0" w:line="240" w:lineRule="auto"/>
              <w:jc w:val="center"/>
              <w:rPr>
                <w:rFonts w:ascii="Palatino Linotype" w:eastAsia="Calibri" w:hAnsi="Palatino Linotype" w:cs="Times New Roman"/>
                <w:sz w:val="24"/>
                <w:szCs w:val="24"/>
                <w:lang w:val="es-MX"/>
              </w:rPr>
            </w:pPr>
            <w:r w:rsidRPr="00AD19ED">
              <w:rPr>
                <w:rFonts w:ascii="Palatino Linotype" w:eastAsia="Calibri" w:hAnsi="Palatino Linotype" w:cs="Times New Roman"/>
                <w:sz w:val="24"/>
                <w:szCs w:val="24"/>
                <w:lang w:val="es-MX"/>
              </w:rPr>
              <w:t>(Conclusión para el Grupo)</w:t>
            </w:r>
          </w:p>
        </w:tc>
        <w:tc>
          <w:tcPr>
            <w:tcW w:w="6885" w:type="dxa"/>
            <w:shd w:val="clear" w:color="auto" w:fill="auto"/>
          </w:tcPr>
          <w:p w:rsidR="00882082" w:rsidRPr="00AD19ED" w:rsidRDefault="00882082" w:rsidP="00882082">
            <w:pPr>
              <w:autoSpaceDE w:val="0"/>
              <w:autoSpaceDN w:val="0"/>
              <w:adjustRightInd w:val="0"/>
              <w:spacing w:after="0" w:line="240" w:lineRule="auto"/>
              <w:rPr>
                <w:rFonts w:ascii="Palatino Linotype" w:eastAsia="Times New Roman" w:hAnsi="Palatino Linotype" w:cs="Arial"/>
                <w:iCs/>
                <w:sz w:val="24"/>
                <w:szCs w:val="24"/>
              </w:rPr>
            </w:pPr>
          </w:p>
        </w:tc>
      </w:tr>
    </w:tbl>
    <w:p w:rsidR="00602E11" w:rsidRPr="00AD19ED" w:rsidRDefault="00602E11" w:rsidP="00B4528B">
      <w:pPr>
        <w:spacing w:after="0" w:line="240" w:lineRule="auto"/>
        <w:jc w:val="both"/>
        <w:rPr>
          <w:rFonts w:ascii="Palatino Linotype" w:hAnsi="Palatino Linotype"/>
          <w:sz w:val="24"/>
          <w:szCs w:val="24"/>
        </w:rPr>
      </w:pPr>
    </w:p>
    <w:sectPr w:rsidR="00602E11" w:rsidRPr="00AD19ED" w:rsidSect="00F617EE">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E71" w:rsidRDefault="00B00E71" w:rsidP="007C6560">
      <w:pPr>
        <w:spacing w:after="0" w:line="240" w:lineRule="auto"/>
      </w:pPr>
      <w:r>
        <w:separator/>
      </w:r>
    </w:p>
  </w:endnote>
  <w:endnote w:type="continuationSeparator" w:id="1">
    <w:p w:rsidR="00B00E71" w:rsidRDefault="00B00E71" w:rsidP="007C6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E71" w:rsidRDefault="00B00E71" w:rsidP="007C6560">
      <w:pPr>
        <w:spacing w:after="0" w:line="240" w:lineRule="auto"/>
      </w:pPr>
      <w:r>
        <w:separator/>
      </w:r>
    </w:p>
  </w:footnote>
  <w:footnote w:type="continuationSeparator" w:id="1">
    <w:p w:rsidR="00B00E71" w:rsidRDefault="00B00E71" w:rsidP="007C6560">
      <w:pPr>
        <w:spacing w:after="0" w:line="240" w:lineRule="auto"/>
      </w:pPr>
      <w:r>
        <w:continuationSeparator/>
      </w:r>
    </w:p>
  </w:footnote>
  <w:footnote w:id="2">
    <w:p w:rsidR="009B1663" w:rsidRPr="00E26B5A" w:rsidRDefault="009B1663" w:rsidP="009B1663">
      <w:pPr>
        <w:pStyle w:val="Textonotapie"/>
        <w:jc w:val="both"/>
        <w:rPr>
          <w:rFonts w:ascii="Palatino Linotype" w:hAnsi="Palatino Linotype"/>
        </w:rPr>
      </w:pPr>
      <w:r w:rsidRPr="00E26B5A">
        <w:rPr>
          <w:rStyle w:val="Refdenotaalpie"/>
          <w:rFonts w:ascii="Palatino Linotype" w:hAnsi="Palatino Linotype"/>
        </w:rPr>
        <w:footnoteRef/>
      </w:r>
      <w:r>
        <w:rPr>
          <w:rFonts w:ascii="Palatino Linotype" w:hAnsi="Palatino Linotype"/>
        </w:rPr>
        <w:t xml:space="preserve"> Documento elaborado el </w:t>
      </w:r>
      <w:r w:rsidRPr="00E26B5A">
        <w:rPr>
          <w:rFonts w:ascii="Palatino Linotype" w:hAnsi="Palatino Linotype"/>
        </w:rPr>
        <w:t>5 de junio de 2015.</w:t>
      </w:r>
    </w:p>
  </w:footnote>
  <w:footnote w:id="3">
    <w:p w:rsidR="002459FC" w:rsidRPr="00E26B5A" w:rsidRDefault="002459FC" w:rsidP="002459FC">
      <w:pPr>
        <w:pStyle w:val="Textonotapie"/>
        <w:jc w:val="both"/>
        <w:rPr>
          <w:rFonts w:ascii="Palatino Linotype" w:hAnsi="Palatino Linotype"/>
        </w:rPr>
      </w:pPr>
      <w:r w:rsidRPr="00E26B5A">
        <w:rPr>
          <w:rStyle w:val="Refdenotaalpie"/>
          <w:rFonts w:ascii="Palatino Linotype" w:hAnsi="Palatino Linotype"/>
        </w:rPr>
        <w:footnoteRef/>
      </w:r>
      <w:r w:rsidR="0095720B">
        <w:rPr>
          <w:rFonts w:ascii="Palatino Linotype" w:hAnsi="Palatino Linotype" w:cs="Arial"/>
        </w:rPr>
        <w:t xml:space="preserve"> </w:t>
      </w:r>
      <w:r w:rsidRPr="00E26B5A">
        <w:rPr>
          <w:rFonts w:ascii="Palatino Linotype" w:hAnsi="Palatino Linotype" w:cs="Arial"/>
        </w:rPr>
        <w:t xml:space="preserve">Tribunal Constitucional del Perú. Expediente Nº </w:t>
      </w:r>
      <w:r w:rsidRPr="00E26B5A">
        <w:rPr>
          <w:rFonts w:ascii="Palatino Linotype" w:eastAsia="Times New Roman" w:hAnsi="Palatino Linotype" w:cs="Arial"/>
          <w:bCs/>
          <w:lang w:val="es-MX" w:eastAsia="es-ES"/>
        </w:rPr>
        <w:t>10575-2006-PA/TC</w:t>
      </w:r>
      <w:r w:rsidRPr="00E26B5A">
        <w:rPr>
          <w:rFonts w:ascii="Palatino Linotype" w:eastAsia="Times New Roman" w:hAnsi="Palatino Linotype" w:cs="Arial"/>
          <w:bCs/>
          <w:iCs/>
          <w:lang w:val="es-ES_tradnl"/>
        </w:rPr>
        <w:t>, Fundamento Nº 12.</w:t>
      </w:r>
    </w:p>
  </w:footnote>
  <w:footnote w:id="4">
    <w:p w:rsidR="002459FC" w:rsidRPr="00E26B5A" w:rsidRDefault="002459FC" w:rsidP="002459FC">
      <w:pPr>
        <w:pStyle w:val="Textonotapie"/>
        <w:jc w:val="both"/>
        <w:rPr>
          <w:rFonts w:ascii="Palatino Linotype" w:hAnsi="Palatino Linotype"/>
        </w:rPr>
      </w:pPr>
      <w:r w:rsidRPr="00E26B5A">
        <w:rPr>
          <w:rStyle w:val="Refdenotaalpie"/>
          <w:rFonts w:ascii="Palatino Linotype" w:hAnsi="Palatino Linotype"/>
        </w:rPr>
        <w:footnoteRef/>
      </w:r>
      <w:r w:rsidRPr="00E26B5A">
        <w:rPr>
          <w:rFonts w:ascii="Palatino Linotype" w:hAnsi="Palatino Linotype" w:cs="Arial"/>
        </w:rPr>
        <w:t xml:space="preserve">Tribunal Constitucional del Perú. Expediente Nº </w:t>
      </w:r>
      <w:r w:rsidRPr="00E26B5A">
        <w:rPr>
          <w:rFonts w:ascii="Palatino Linotype" w:eastAsia="Times New Roman" w:hAnsi="Palatino Linotype" w:cs="Arial"/>
          <w:noProof/>
          <w:lang w:val="es-ES_tradnl" w:eastAsia="es-ES"/>
        </w:rPr>
        <w:t>05859</w:t>
      </w:r>
      <w:r w:rsidRPr="00E26B5A">
        <w:rPr>
          <w:rFonts w:ascii="Palatino Linotype" w:eastAsia="Times New Roman" w:hAnsi="Palatino Linotype" w:cs="Arial"/>
          <w:lang w:val="es-ES_tradnl" w:eastAsia="es-ES"/>
        </w:rPr>
        <w:t>-</w:t>
      </w:r>
      <w:r w:rsidRPr="00E26B5A">
        <w:rPr>
          <w:rFonts w:ascii="Palatino Linotype" w:eastAsia="Times New Roman" w:hAnsi="Palatino Linotype" w:cs="Arial"/>
          <w:noProof/>
          <w:lang w:val="es-ES_tradnl" w:eastAsia="es-ES"/>
        </w:rPr>
        <w:t>2009</w:t>
      </w:r>
      <w:r w:rsidRPr="00E26B5A">
        <w:rPr>
          <w:rFonts w:ascii="Palatino Linotype" w:eastAsia="Times New Roman" w:hAnsi="Palatino Linotype" w:cs="Arial"/>
          <w:lang w:val="es-ES_tradnl" w:eastAsia="es-ES"/>
        </w:rPr>
        <w:t>-</w:t>
      </w:r>
      <w:r w:rsidRPr="00E26B5A">
        <w:rPr>
          <w:rFonts w:ascii="Palatino Linotype" w:eastAsia="Times New Roman" w:hAnsi="Palatino Linotype" w:cs="Arial"/>
          <w:noProof/>
          <w:lang w:val="es-ES_tradnl" w:eastAsia="es-ES"/>
        </w:rPr>
        <w:t>PA</w:t>
      </w:r>
      <w:r w:rsidRPr="00E26B5A">
        <w:rPr>
          <w:rFonts w:ascii="Palatino Linotype" w:eastAsia="Times New Roman" w:hAnsi="Palatino Linotype" w:cs="Arial"/>
          <w:lang w:val="es-ES_tradnl" w:eastAsia="es-ES"/>
        </w:rPr>
        <w:t>/TC</w:t>
      </w:r>
      <w:r w:rsidRPr="00E26B5A">
        <w:rPr>
          <w:rFonts w:ascii="Palatino Linotype" w:eastAsia="Times New Roman" w:hAnsi="Palatino Linotype" w:cs="Arial"/>
          <w:bCs/>
          <w:iCs/>
          <w:lang w:val="es-ES_tradnl"/>
        </w:rPr>
        <w:t>, Fundamento Nº 6.</w:t>
      </w:r>
    </w:p>
  </w:footnote>
  <w:footnote w:id="5">
    <w:p w:rsidR="002459FC" w:rsidRPr="00E26B5A" w:rsidRDefault="002459FC" w:rsidP="002459FC">
      <w:pPr>
        <w:pStyle w:val="Textonotapie"/>
        <w:jc w:val="both"/>
        <w:rPr>
          <w:rFonts w:ascii="Palatino Linotype" w:hAnsi="Palatino Linotype"/>
        </w:rPr>
      </w:pPr>
      <w:r w:rsidRPr="00E26B5A">
        <w:rPr>
          <w:rStyle w:val="Refdenotaalpie"/>
          <w:rFonts w:ascii="Palatino Linotype" w:hAnsi="Palatino Linotype"/>
        </w:rPr>
        <w:footnoteRef/>
      </w:r>
      <w:r w:rsidRPr="00E26B5A">
        <w:rPr>
          <w:rFonts w:ascii="Palatino Linotype" w:hAnsi="Palatino Linotype" w:cs="Arial"/>
        </w:rPr>
        <w:t xml:space="preserve">Tribunal Constitucional del Perú. Expediente Nº </w:t>
      </w:r>
      <w:r w:rsidRPr="00E26B5A">
        <w:rPr>
          <w:rFonts w:ascii="Palatino Linotype" w:eastAsia="Times New Roman" w:hAnsi="Palatino Linotype" w:cs="Arial"/>
          <w:lang w:eastAsia="es-ES"/>
        </w:rPr>
        <w:t>05296-2007-PA/TC</w:t>
      </w:r>
      <w:r w:rsidRPr="00E26B5A">
        <w:rPr>
          <w:rFonts w:ascii="Palatino Linotype" w:eastAsia="Times New Roman" w:hAnsi="Palatino Linotype" w:cs="Arial"/>
          <w:bCs/>
          <w:iCs/>
          <w:lang w:val="es-ES_tradnl"/>
        </w:rPr>
        <w:t>, Fundamento Nº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4AF9"/>
    <w:multiLevelType w:val="hybridMultilevel"/>
    <w:tmpl w:val="D6B8E088"/>
    <w:lvl w:ilvl="0" w:tplc="69D2FDD4">
      <w:start w:val="1"/>
      <w:numFmt w:val="lowerLetter"/>
      <w:lvlText w:val="%1)"/>
      <w:lvlJc w:val="left"/>
      <w:pPr>
        <w:ind w:left="720" w:hanging="360"/>
      </w:pPr>
      <w:rPr>
        <w:rFonts w:hint="default"/>
        <w:b w:val="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0B77E4"/>
    <w:multiLevelType w:val="multilevel"/>
    <w:tmpl w:val="85A6B830"/>
    <w:lvl w:ilvl="0">
      <w:start w:val="1"/>
      <w:numFmt w:val="bullet"/>
      <w:lvlText w:val=""/>
      <w:lvlJc w:val="left"/>
      <w:pPr>
        <w:ind w:left="720" w:hanging="360"/>
      </w:pPr>
      <w:rPr>
        <w:rFonts w:ascii="Wingdings" w:hAnsi="Wingdings" w:cs="Wingding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3543A6E"/>
    <w:multiLevelType w:val="hybridMultilevel"/>
    <w:tmpl w:val="8EEC88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7FF22E04"/>
    <w:multiLevelType w:val="hybridMultilevel"/>
    <w:tmpl w:val="8E388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savePreviewPicture/>
  <w:footnotePr>
    <w:footnote w:id="0"/>
    <w:footnote w:id="1"/>
  </w:footnotePr>
  <w:endnotePr>
    <w:endnote w:id="0"/>
    <w:endnote w:id="1"/>
  </w:endnotePr>
  <w:compat/>
  <w:rsids>
    <w:rsidRoot w:val="00E131FB"/>
    <w:rsid w:val="00005F48"/>
    <w:rsid w:val="0001240C"/>
    <w:rsid w:val="0001636F"/>
    <w:rsid w:val="0001755E"/>
    <w:rsid w:val="00045CA0"/>
    <w:rsid w:val="000478B8"/>
    <w:rsid w:val="00056728"/>
    <w:rsid w:val="00080FED"/>
    <w:rsid w:val="000E1181"/>
    <w:rsid w:val="000F2091"/>
    <w:rsid w:val="000F44FF"/>
    <w:rsid w:val="000F6B75"/>
    <w:rsid w:val="00103B69"/>
    <w:rsid w:val="00117593"/>
    <w:rsid w:val="00182CEB"/>
    <w:rsid w:val="001A4E0B"/>
    <w:rsid w:val="001D5D79"/>
    <w:rsid w:val="001E4D9F"/>
    <w:rsid w:val="001F1D8B"/>
    <w:rsid w:val="002459FC"/>
    <w:rsid w:val="0025190F"/>
    <w:rsid w:val="00251DD3"/>
    <w:rsid w:val="00254602"/>
    <w:rsid w:val="00255012"/>
    <w:rsid w:val="0031057B"/>
    <w:rsid w:val="00310FD9"/>
    <w:rsid w:val="0032748B"/>
    <w:rsid w:val="0033112F"/>
    <w:rsid w:val="0033282F"/>
    <w:rsid w:val="00337B48"/>
    <w:rsid w:val="00337BF5"/>
    <w:rsid w:val="00344518"/>
    <w:rsid w:val="0035771F"/>
    <w:rsid w:val="00357792"/>
    <w:rsid w:val="00382584"/>
    <w:rsid w:val="003A1E44"/>
    <w:rsid w:val="003A4C7D"/>
    <w:rsid w:val="003D0B05"/>
    <w:rsid w:val="003E47C1"/>
    <w:rsid w:val="00421C46"/>
    <w:rsid w:val="00443EB9"/>
    <w:rsid w:val="004633C9"/>
    <w:rsid w:val="00472DBE"/>
    <w:rsid w:val="004A7661"/>
    <w:rsid w:val="004A7C4F"/>
    <w:rsid w:val="004B612B"/>
    <w:rsid w:val="004C1421"/>
    <w:rsid w:val="004C26D7"/>
    <w:rsid w:val="004C7076"/>
    <w:rsid w:val="004D5488"/>
    <w:rsid w:val="004E64E2"/>
    <w:rsid w:val="004F3B62"/>
    <w:rsid w:val="00501D95"/>
    <w:rsid w:val="0051444B"/>
    <w:rsid w:val="00522F6E"/>
    <w:rsid w:val="0055094F"/>
    <w:rsid w:val="005941F2"/>
    <w:rsid w:val="005E04AA"/>
    <w:rsid w:val="005E1C14"/>
    <w:rsid w:val="005F5DCA"/>
    <w:rsid w:val="005F79E9"/>
    <w:rsid w:val="00602E11"/>
    <w:rsid w:val="00606B83"/>
    <w:rsid w:val="00635215"/>
    <w:rsid w:val="0069374C"/>
    <w:rsid w:val="00696525"/>
    <w:rsid w:val="006C6C8E"/>
    <w:rsid w:val="006D192B"/>
    <w:rsid w:val="006D4E40"/>
    <w:rsid w:val="006E0E21"/>
    <w:rsid w:val="006F3F37"/>
    <w:rsid w:val="007221B2"/>
    <w:rsid w:val="00723DB2"/>
    <w:rsid w:val="007610C4"/>
    <w:rsid w:val="00762DA9"/>
    <w:rsid w:val="00770C64"/>
    <w:rsid w:val="00774880"/>
    <w:rsid w:val="007C2827"/>
    <w:rsid w:val="007C610B"/>
    <w:rsid w:val="007C6560"/>
    <w:rsid w:val="0081725F"/>
    <w:rsid w:val="008349B0"/>
    <w:rsid w:val="008506FB"/>
    <w:rsid w:val="00873E54"/>
    <w:rsid w:val="00882082"/>
    <w:rsid w:val="00895653"/>
    <w:rsid w:val="008A5309"/>
    <w:rsid w:val="008B3592"/>
    <w:rsid w:val="008C4245"/>
    <w:rsid w:val="008D38C0"/>
    <w:rsid w:val="008E056E"/>
    <w:rsid w:val="008F0B2B"/>
    <w:rsid w:val="008F2E7E"/>
    <w:rsid w:val="00952DDF"/>
    <w:rsid w:val="0095720B"/>
    <w:rsid w:val="00970F79"/>
    <w:rsid w:val="009760E6"/>
    <w:rsid w:val="00984D6C"/>
    <w:rsid w:val="00994D7E"/>
    <w:rsid w:val="009A70C9"/>
    <w:rsid w:val="009B1663"/>
    <w:rsid w:val="00A15520"/>
    <w:rsid w:val="00A3129E"/>
    <w:rsid w:val="00A36360"/>
    <w:rsid w:val="00A44C87"/>
    <w:rsid w:val="00A51ACE"/>
    <w:rsid w:val="00A6388E"/>
    <w:rsid w:val="00A801E3"/>
    <w:rsid w:val="00A831C9"/>
    <w:rsid w:val="00AA1DFC"/>
    <w:rsid w:val="00AB19DA"/>
    <w:rsid w:val="00AC68DF"/>
    <w:rsid w:val="00AC7955"/>
    <w:rsid w:val="00AD19ED"/>
    <w:rsid w:val="00AE3A82"/>
    <w:rsid w:val="00B00E71"/>
    <w:rsid w:val="00B201A2"/>
    <w:rsid w:val="00B23569"/>
    <w:rsid w:val="00B4528B"/>
    <w:rsid w:val="00B46961"/>
    <w:rsid w:val="00B725B2"/>
    <w:rsid w:val="00B927E9"/>
    <w:rsid w:val="00B931FB"/>
    <w:rsid w:val="00BA0431"/>
    <w:rsid w:val="00BB2492"/>
    <w:rsid w:val="00BB5391"/>
    <w:rsid w:val="00BF450B"/>
    <w:rsid w:val="00C06F9F"/>
    <w:rsid w:val="00C23470"/>
    <w:rsid w:val="00C33CF4"/>
    <w:rsid w:val="00C40401"/>
    <w:rsid w:val="00C53AEF"/>
    <w:rsid w:val="00C76C00"/>
    <w:rsid w:val="00C8662D"/>
    <w:rsid w:val="00C95C00"/>
    <w:rsid w:val="00CB058C"/>
    <w:rsid w:val="00CB3B99"/>
    <w:rsid w:val="00CC24D9"/>
    <w:rsid w:val="00CC77C0"/>
    <w:rsid w:val="00D10A00"/>
    <w:rsid w:val="00D209A3"/>
    <w:rsid w:val="00D25579"/>
    <w:rsid w:val="00D660FB"/>
    <w:rsid w:val="00DB6B1D"/>
    <w:rsid w:val="00DC1232"/>
    <w:rsid w:val="00DD29E3"/>
    <w:rsid w:val="00DF0340"/>
    <w:rsid w:val="00E01B26"/>
    <w:rsid w:val="00E07C4C"/>
    <w:rsid w:val="00E131FB"/>
    <w:rsid w:val="00E23674"/>
    <w:rsid w:val="00E26B5A"/>
    <w:rsid w:val="00E32E2F"/>
    <w:rsid w:val="00E55C25"/>
    <w:rsid w:val="00E747B4"/>
    <w:rsid w:val="00E8455F"/>
    <w:rsid w:val="00EB01FF"/>
    <w:rsid w:val="00EB1AEF"/>
    <w:rsid w:val="00ED39A8"/>
    <w:rsid w:val="00EF68A5"/>
    <w:rsid w:val="00F01BA3"/>
    <w:rsid w:val="00F07CF9"/>
    <w:rsid w:val="00F30BA2"/>
    <w:rsid w:val="00F32FF3"/>
    <w:rsid w:val="00F368BA"/>
    <w:rsid w:val="00F37EC6"/>
    <w:rsid w:val="00F46451"/>
    <w:rsid w:val="00F46BF8"/>
    <w:rsid w:val="00F617EE"/>
    <w:rsid w:val="00F64A09"/>
    <w:rsid w:val="00F76D08"/>
    <w:rsid w:val="00F830CD"/>
    <w:rsid w:val="00FA0B4D"/>
    <w:rsid w:val="00FA49CD"/>
    <w:rsid w:val="00FB7738"/>
    <w:rsid w:val="00FD13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53"/>
  </w:style>
  <w:style w:type="paragraph" w:styleId="Ttulo4">
    <w:name w:val="heading 4"/>
    <w:basedOn w:val="Normal"/>
    <w:link w:val="Ttulo4Car"/>
    <w:uiPriority w:val="9"/>
    <w:qFormat/>
    <w:rsid w:val="00602E1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7">
    <w:name w:val="heading 7"/>
    <w:basedOn w:val="Normal"/>
    <w:link w:val="Ttulo7Car"/>
    <w:uiPriority w:val="9"/>
    <w:qFormat/>
    <w:rsid w:val="00602E11"/>
    <w:pPr>
      <w:spacing w:before="100" w:beforeAutospacing="1" w:after="100" w:afterAutospacing="1" w:line="240" w:lineRule="auto"/>
      <w:outlineLvl w:val="6"/>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paragraph" w:styleId="Textonotapie">
    <w:name w:val="footnote text"/>
    <w:basedOn w:val="Normal"/>
    <w:link w:val="TextonotapieCar"/>
    <w:uiPriority w:val="99"/>
    <w:semiHidden/>
    <w:unhideWhenUsed/>
    <w:rsid w:val="007C65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560"/>
    <w:rPr>
      <w:sz w:val="20"/>
      <w:szCs w:val="20"/>
    </w:rPr>
  </w:style>
  <w:style w:type="character" w:styleId="Refdenotaalpie">
    <w:name w:val="footnote reference"/>
    <w:basedOn w:val="Fuentedeprrafopredeter"/>
    <w:uiPriority w:val="99"/>
    <w:semiHidden/>
    <w:unhideWhenUsed/>
    <w:rsid w:val="007C6560"/>
    <w:rPr>
      <w:vertAlign w:val="superscript"/>
    </w:rPr>
  </w:style>
  <w:style w:type="character" w:styleId="Hipervnculo">
    <w:name w:val="Hyperlink"/>
    <w:basedOn w:val="Fuentedeprrafopredeter"/>
    <w:uiPriority w:val="99"/>
    <w:unhideWhenUsed/>
    <w:rsid w:val="007C6560"/>
    <w:rPr>
      <w:color w:val="0000FF" w:themeColor="hyperlink"/>
      <w:u w:val="single"/>
    </w:rPr>
  </w:style>
  <w:style w:type="character" w:styleId="Refdecomentario">
    <w:name w:val="annotation reference"/>
    <w:basedOn w:val="Fuentedeprrafopredeter"/>
    <w:uiPriority w:val="99"/>
    <w:semiHidden/>
    <w:unhideWhenUsed/>
    <w:rsid w:val="00952DDF"/>
    <w:rPr>
      <w:sz w:val="16"/>
      <w:szCs w:val="16"/>
    </w:rPr>
  </w:style>
  <w:style w:type="paragraph" w:styleId="Textocomentario">
    <w:name w:val="annotation text"/>
    <w:basedOn w:val="Normal"/>
    <w:link w:val="TextocomentarioCar"/>
    <w:uiPriority w:val="99"/>
    <w:semiHidden/>
    <w:unhideWhenUsed/>
    <w:rsid w:val="00952D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DDF"/>
    <w:rPr>
      <w:sz w:val="20"/>
      <w:szCs w:val="20"/>
    </w:rPr>
  </w:style>
  <w:style w:type="paragraph" w:styleId="Asuntodelcomentario">
    <w:name w:val="annotation subject"/>
    <w:basedOn w:val="Textocomentario"/>
    <w:next w:val="Textocomentario"/>
    <w:link w:val="AsuntodelcomentarioCar"/>
    <w:uiPriority w:val="99"/>
    <w:semiHidden/>
    <w:unhideWhenUsed/>
    <w:rsid w:val="00952DDF"/>
    <w:rPr>
      <w:b/>
      <w:bCs/>
    </w:rPr>
  </w:style>
  <w:style w:type="character" w:customStyle="1" w:styleId="AsuntodelcomentarioCar">
    <w:name w:val="Asunto del comentario Car"/>
    <w:basedOn w:val="TextocomentarioCar"/>
    <w:link w:val="Asuntodelcomentario"/>
    <w:uiPriority w:val="99"/>
    <w:semiHidden/>
    <w:rsid w:val="00952DDF"/>
    <w:rPr>
      <w:b/>
      <w:bCs/>
      <w:sz w:val="20"/>
      <w:szCs w:val="20"/>
    </w:rPr>
  </w:style>
  <w:style w:type="paragraph" w:styleId="Textodeglobo">
    <w:name w:val="Balloon Text"/>
    <w:basedOn w:val="Normal"/>
    <w:link w:val="TextodegloboCar"/>
    <w:uiPriority w:val="99"/>
    <w:semiHidden/>
    <w:unhideWhenUsed/>
    <w:rsid w:val="00952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DDF"/>
    <w:rPr>
      <w:rFonts w:ascii="Tahoma" w:hAnsi="Tahoma" w:cs="Tahoma"/>
      <w:sz w:val="16"/>
      <w:szCs w:val="16"/>
    </w:rPr>
  </w:style>
  <w:style w:type="character" w:customStyle="1" w:styleId="highlight">
    <w:name w:val="highlight"/>
    <w:basedOn w:val="Fuentedeprrafopredeter"/>
    <w:rsid w:val="00D10A00"/>
  </w:style>
  <w:style w:type="character" w:customStyle="1" w:styleId="Ttulo4Car">
    <w:name w:val="Título 4 Car"/>
    <w:basedOn w:val="Fuentedeprrafopredeter"/>
    <w:link w:val="Ttulo4"/>
    <w:uiPriority w:val="9"/>
    <w:rsid w:val="00602E11"/>
    <w:rPr>
      <w:rFonts w:ascii="Times New Roman" w:eastAsia="Times New Roman" w:hAnsi="Times New Roman" w:cs="Times New Roman"/>
      <w:b/>
      <w:bCs/>
      <w:sz w:val="24"/>
      <w:szCs w:val="24"/>
      <w:lang w:eastAsia="es-ES"/>
    </w:rPr>
  </w:style>
  <w:style w:type="character" w:customStyle="1" w:styleId="Ttulo7Car">
    <w:name w:val="Título 7 Car"/>
    <w:basedOn w:val="Fuentedeprrafopredeter"/>
    <w:link w:val="Ttulo7"/>
    <w:uiPriority w:val="9"/>
    <w:rsid w:val="00602E11"/>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0163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semiHidden/>
    <w:rsid w:val="0001636F"/>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2389179">
      <w:bodyDiv w:val="1"/>
      <w:marLeft w:val="0"/>
      <w:marRight w:val="0"/>
      <w:marTop w:val="0"/>
      <w:marBottom w:val="0"/>
      <w:divBdr>
        <w:top w:val="none" w:sz="0" w:space="0" w:color="auto"/>
        <w:left w:val="none" w:sz="0" w:space="0" w:color="auto"/>
        <w:bottom w:val="none" w:sz="0" w:space="0" w:color="auto"/>
        <w:right w:val="none" w:sz="0" w:space="0" w:color="auto"/>
      </w:divBdr>
    </w:div>
    <w:div w:id="276446616">
      <w:bodyDiv w:val="1"/>
      <w:marLeft w:val="0"/>
      <w:marRight w:val="0"/>
      <w:marTop w:val="0"/>
      <w:marBottom w:val="0"/>
      <w:divBdr>
        <w:top w:val="none" w:sz="0" w:space="0" w:color="auto"/>
        <w:left w:val="none" w:sz="0" w:space="0" w:color="auto"/>
        <w:bottom w:val="none" w:sz="0" w:space="0" w:color="auto"/>
        <w:right w:val="none" w:sz="0" w:space="0" w:color="auto"/>
      </w:divBdr>
      <w:divsChild>
        <w:div w:id="875312662">
          <w:marLeft w:val="0"/>
          <w:marRight w:val="0"/>
          <w:marTop w:val="0"/>
          <w:marBottom w:val="0"/>
          <w:divBdr>
            <w:top w:val="none" w:sz="0" w:space="0" w:color="auto"/>
            <w:left w:val="none" w:sz="0" w:space="0" w:color="auto"/>
            <w:bottom w:val="none" w:sz="0" w:space="0" w:color="auto"/>
            <w:right w:val="none" w:sz="0" w:space="0" w:color="auto"/>
          </w:divBdr>
        </w:div>
        <w:div w:id="349307187">
          <w:marLeft w:val="0"/>
          <w:marRight w:val="0"/>
          <w:marTop w:val="0"/>
          <w:marBottom w:val="0"/>
          <w:divBdr>
            <w:top w:val="none" w:sz="0" w:space="0" w:color="auto"/>
            <w:left w:val="none" w:sz="0" w:space="0" w:color="auto"/>
            <w:bottom w:val="none" w:sz="0" w:space="0" w:color="auto"/>
            <w:right w:val="none" w:sz="0" w:space="0" w:color="auto"/>
          </w:divBdr>
        </w:div>
      </w:divsChild>
    </w:div>
    <w:div w:id="315492956">
      <w:bodyDiv w:val="1"/>
      <w:marLeft w:val="0"/>
      <w:marRight w:val="0"/>
      <w:marTop w:val="0"/>
      <w:marBottom w:val="0"/>
      <w:divBdr>
        <w:top w:val="none" w:sz="0" w:space="0" w:color="auto"/>
        <w:left w:val="none" w:sz="0" w:space="0" w:color="auto"/>
        <w:bottom w:val="none" w:sz="0" w:space="0" w:color="auto"/>
        <w:right w:val="none" w:sz="0" w:space="0" w:color="auto"/>
      </w:divBdr>
    </w:div>
    <w:div w:id="639071822">
      <w:bodyDiv w:val="1"/>
      <w:marLeft w:val="0"/>
      <w:marRight w:val="0"/>
      <w:marTop w:val="0"/>
      <w:marBottom w:val="0"/>
      <w:divBdr>
        <w:top w:val="none" w:sz="0" w:space="0" w:color="auto"/>
        <w:left w:val="none" w:sz="0" w:space="0" w:color="auto"/>
        <w:bottom w:val="none" w:sz="0" w:space="0" w:color="auto"/>
        <w:right w:val="none" w:sz="0" w:space="0" w:color="auto"/>
      </w:divBdr>
    </w:div>
    <w:div w:id="1104496498">
      <w:bodyDiv w:val="1"/>
      <w:marLeft w:val="0"/>
      <w:marRight w:val="0"/>
      <w:marTop w:val="0"/>
      <w:marBottom w:val="0"/>
      <w:divBdr>
        <w:top w:val="none" w:sz="0" w:space="0" w:color="auto"/>
        <w:left w:val="none" w:sz="0" w:space="0" w:color="auto"/>
        <w:bottom w:val="none" w:sz="0" w:space="0" w:color="auto"/>
        <w:right w:val="none" w:sz="0" w:space="0" w:color="auto"/>
      </w:divBdr>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975347">
      <w:bodyDiv w:val="1"/>
      <w:marLeft w:val="0"/>
      <w:marRight w:val="0"/>
      <w:marTop w:val="0"/>
      <w:marBottom w:val="0"/>
      <w:divBdr>
        <w:top w:val="none" w:sz="0" w:space="0" w:color="auto"/>
        <w:left w:val="none" w:sz="0" w:space="0" w:color="auto"/>
        <w:bottom w:val="none" w:sz="0" w:space="0" w:color="auto"/>
        <w:right w:val="none" w:sz="0" w:space="0" w:color="auto"/>
      </w:divBdr>
      <w:divsChild>
        <w:div w:id="1430007915">
          <w:marLeft w:val="0"/>
          <w:marRight w:val="0"/>
          <w:marTop w:val="0"/>
          <w:marBottom w:val="0"/>
          <w:divBdr>
            <w:top w:val="none" w:sz="0" w:space="0" w:color="auto"/>
            <w:left w:val="none" w:sz="0" w:space="0" w:color="auto"/>
            <w:bottom w:val="none" w:sz="0" w:space="0" w:color="auto"/>
            <w:right w:val="none" w:sz="0" w:space="0" w:color="auto"/>
          </w:divBdr>
        </w:div>
        <w:div w:id="79521571">
          <w:marLeft w:val="0"/>
          <w:marRight w:val="0"/>
          <w:marTop w:val="0"/>
          <w:marBottom w:val="0"/>
          <w:divBdr>
            <w:top w:val="none" w:sz="0" w:space="0" w:color="auto"/>
            <w:left w:val="none" w:sz="0" w:space="0" w:color="auto"/>
            <w:bottom w:val="none" w:sz="0" w:space="0" w:color="auto"/>
            <w:right w:val="none" w:sz="0" w:space="0" w:color="auto"/>
          </w:divBdr>
        </w:div>
        <w:div w:id="1113478140">
          <w:marLeft w:val="0"/>
          <w:marRight w:val="0"/>
          <w:marTop w:val="0"/>
          <w:marBottom w:val="0"/>
          <w:divBdr>
            <w:top w:val="none" w:sz="0" w:space="0" w:color="auto"/>
            <w:left w:val="none" w:sz="0" w:space="0" w:color="auto"/>
            <w:bottom w:val="none" w:sz="0" w:space="0" w:color="auto"/>
            <w:right w:val="none" w:sz="0" w:space="0" w:color="auto"/>
          </w:divBdr>
        </w:div>
        <w:div w:id="38626445">
          <w:marLeft w:val="0"/>
          <w:marRight w:val="0"/>
          <w:marTop w:val="0"/>
          <w:marBottom w:val="0"/>
          <w:divBdr>
            <w:top w:val="none" w:sz="0" w:space="0" w:color="auto"/>
            <w:left w:val="none" w:sz="0" w:space="0" w:color="auto"/>
            <w:bottom w:val="none" w:sz="0" w:space="0" w:color="auto"/>
            <w:right w:val="none" w:sz="0" w:space="0" w:color="auto"/>
          </w:divBdr>
        </w:div>
        <w:div w:id="420496200">
          <w:marLeft w:val="0"/>
          <w:marRight w:val="0"/>
          <w:marTop w:val="0"/>
          <w:marBottom w:val="0"/>
          <w:divBdr>
            <w:top w:val="none" w:sz="0" w:space="0" w:color="auto"/>
            <w:left w:val="none" w:sz="0" w:space="0" w:color="auto"/>
            <w:bottom w:val="none" w:sz="0" w:space="0" w:color="auto"/>
            <w:right w:val="none" w:sz="0" w:space="0" w:color="auto"/>
          </w:divBdr>
        </w:div>
        <w:div w:id="1038970625">
          <w:marLeft w:val="0"/>
          <w:marRight w:val="0"/>
          <w:marTop w:val="0"/>
          <w:marBottom w:val="0"/>
          <w:divBdr>
            <w:top w:val="none" w:sz="0" w:space="0" w:color="auto"/>
            <w:left w:val="none" w:sz="0" w:space="0" w:color="auto"/>
            <w:bottom w:val="none" w:sz="0" w:space="0" w:color="auto"/>
            <w:right w:val="none" w:sz="0" w:space="0" w:color="auto"/>
          </w:divBdr>
        </w:div>
        <w:div w:id="456224811">
          <w:marLeft w:val="0"/>
          <w:marRight w:val="0"/>
          <w:marTop w:val="0"/>
          <w:marBottom w:val="0"/>
          <w:divBdr>
            <w:top w:val="none" w:sz="0" w:space="0" w:color="auto"/>
            <w:left w:val="none" w:sz="0" w:space="0" w:color="auto"/>
            <w:bottom w:val="none" w:sz="0" w:space="0" w:color="auto"/>
            <w:right w:val="none" w:sz="0" w:space="0" w:color="auto"/>
          </w:divBdr>
        </w:div>
      </w:divsChild>
    </w:div>
    <w:div w:id="1601793325">
      <w:bodyDiv w:val="1"/>
      <w:marLeft w:val="0"/>
      <w:marRight w:val="0"/>
      <w:marTop w:val="0"/>
      <w:marBottom w:val="0"/>
      <w:divBdr>
        <w:top w:val="none" w:sz="0" w:space="0" w:color="auto"/>
        <w:left w:val="none" w:sz="0" w:space="0" w:color="auto"/>
        <w:bottom w:val="none" w:sz="0" w:space="0" w:color="auto"/>
        <w:right w:val="none" w:sz="0" w:space="0" w:color="auto"/>
      </w:divBdr>
    </w:div>
    <w:div w:id="1626543002">
      <w:bodyDiv w:val="1"/>
      <w:marLeft w:val="0"/>
      <w:marRight w:val="0"/>
      <w:marTop w:val="0"/>
      <w:marBottom w:val="0"/>
      <w:divBdr>
        <w:top w:val="none" w:sz="0" w:space="0" w:color="auto"/>
        <w:left w:val="none" w:sz="0" w:space="0" w:color="auto"/>
        <w:bottom w:val="none" w:sz="0" w:space="0" w:color="auto"/>
        <w:right w:val="none" w:sz="0" w:space="0" w:color="auto"/>
      </w:divBdr>
    </w:div>
    <w:div w:id="1803037317">
      <w:bodyDiv w:val="1"/>
      <w:marLeft w:val="0"/>
      <w:marRight w:val="0"/>
      <w:marTop w:val="0"/>
      <w:marBottom w:val="0"/>
      <w:divBdr>
        <w:top w:val="none" w:sz="0" w:space="0" w:color="auto"/>
        <w:left w:val="none" w:sz="0" w:space="0" w:color="auto"/>
        <w:bottom w:val="none" w:sz="0" w:space="0" w:color="auto"/>
        <w:right w:val="none" w:sz="0" w:space="0" w:color="auto"/>
      </w:divBdr>
      <w:divsChild>
        <w:div w:id="2022926506">
          <w:marLeft w:val="0"/>
          <w:marRight w:val="0"/>
          <w:marTop w:val="0"/>
          <w:marBottom w:val="0"/>
          <w:divBdr>
            <w:top w:val="none" w:sz="0" w:space="0" w:color="auto"/>
            <w:left w:val="none" w:sz="0" w:space="0" w:color="auto"/>
            <w:bottom w:val="none" w:sz="0" w:space="0" w:color="auto"/>
            <w:right w:val="none" w:sz="0" w:space="0" w:color="auto"/>
          </w:divBdr>
        </w:div>
        <w:div w:id="1474984258">
          <w:marLeft w:val="0"/>
          <w:marRight w:val="0"/>
          <w:marTop w:val="0"/>
          <w:marBottom w:val="0"/>
          <w:divBdr>
            <w:top w:val="none" w:sz="0" w:space="0" w:color="auto"/>
            <w:left w:val="none" w:sz="0" w:space="0" w:color="auto"/>
            <w:bottom w:val="none" w:sz="0" w:space="0" w:color="auto"/>
            <w:right w:val="none" w:sz="0" w:space="0" w:color="auto"/>
          </w:divBdr>
        </w:div>
        <w:div w:id="137891890">
          <w:marLeft w:val="0"/>
          <w:marRight w:val="0"/>
          <w:marTop w:val="0"/>
          <w:marBottom w:val="0"/>
          <w:divBdr>
            <w:top w:val="none" w:sz="0" w:space="0" w:color="auto"/>
            <w:left w:val="none" w:sz="0" w:space="0" w:color="auto"/>
            <w:bottom w:val="none" w:sz="0" w:space="0" w:color="auto"/>
            <w:right w:val="none" w:sz="0" w:space="0" w:color="auto"/>
          </w:divBdr>
        </w:div>
        <w:div w:id="1351838230">
          <w:marLeft w:val="0"/>
          <w:marRight w:val="0"/>
          <w:marTop w:val="0"/>
          <w:marBottom w:val="0"/>
          <w:divBdr>
            <w:top w:val="none" w:sz="0" w:space="0" w:color="auto"/>
            <w:left w:val="none" w:sz="0" w:space="0" w:color="auto"/>
            <w:bottom w:val="none" w:sz="0" w:space="0" w:color="auto"/>
            <w:right w:val="none" w:sz="0" w:space="0" w:color="auto"/>
          </w:divBdr>
        </w:div>
      </w:divsChild>
    </w:div>
    <w:div w:id="20079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4B33ACEB-692F-450C-A8A7-B8CFECC63DBC}"/>
</file>

<file path=customXml/itemProps2.xml><?xml version="1.0" encoding="utf-8"?>
<ds:datastoreItem xmlns:ds="http://schemas.openxmlformats.org/officeDocument/2006/customXml" ds:itemID="{3A88A445-4BB3-4C68-9425-2244492B02F5}"/>
</file>

<file path=customXml/itemProps3.xml><?xml version="1.0" encoding="utf-8"?>
<ds:datastoreItem xmlns:ds="http://schemas.openxmlformats.org/officeDocument/2006/customXml" ds:itemID="{A7DB487B-5EFC-4A8B-9828-7AAB4030B18F}"/>
</file>

<file path=customXml/itemProps4.xml><?xml version="1.0" encoding="utf-8"?>
<ds:datastoreItem xmlns:ds="http://schemas.openxmlformats.org/officeDocument/2006/customXml" ds:itemID="{6F0DCFC9-D3C9-4D2C-9E78-CA244A0697C6}"/>
</file>

<file path=docProps/app.xml><?xml version="1.0" encoding="utf-8"?>
<Properties xmlns="http://schemas.openxmlformats.org/officeDocument/2006/extended-properties" xmlns:vt="http://schemas.openxmlformats.org/officeDocument/2006/docPropsVTypes">
  <Template>Normal</Template>
  <TotalTime>6</TotalTime>
  <Pages>4</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jmaganr</cp:lastModifiedBy>
  <cp:revision>2</cp:revision>
  <cp:lastPrinted>2015-03-17T16:28:00Z</cp:lastPrinted>
  <dcterms:created xsi:type="dcterms:W3CDTF">2015-06-08T20:22:00Z</dcterms:created>
  <dcterms:modified xsi:type="dcterms:W3CDTF">2015-06-08T20:22:00Z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