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7EE" w:rsidRDefault="00AC7955" w:rsidP="00AC7955">
      <w:pPr>
        <w:spacing w:after="0" w:line="240" w:lineRule="auto"/>
        <w:jc w:val="center"/>
        <w:rPr>
          <w:rStyle w:val="Ttulodellibro"/>
          <w:sz w:val="28"/>
          <w:szCs w:val="28"/>
        </w:rPr>
      </w:pPr>
      <w:r w:rsidRPr="00AC7955">
        <w:rPr>
          <w:rStyle w:val="Ttulodellibro"/>
          <w:sz w:val="28"/>
          <w:szCs w:val="28"/>
        </w:rPr>
        <w:t>Primer Debate Temático</w:t>
      </w:r>
    </w:p>
    <w:p w:rsidR="00AC7955" w:rsidRDefault="00AC7955" w:rsidP="00AC7955">
      <w:pPr>
        <w:spacing w:after="0" w:line="240" w:lineRule="auto"/>
        <w:jc w:val="center"/>
        <w:rPr>
          <w:rFonts w:ascii="Verdana" w:hAnsi="Verdana"/>
          <w:b/>
          <w:u w:val="single"/>
        </w:rPr>
      </w:pPr>
      <w:r w:rsidRPr="0033282F">
        <w:rPr>
          <w:rFonts w:ascii="Verdana" w:hAnsi="Verdana"/>
          <w:b/>
          <w:u w:val="single"/>
        </w:rPr>
        <w:t xml:space="preserve">Hoja de Datos </w:t>
      </w:r>
    </w:p>
    <w:p w:rsidR="00AC7955" w:rsidRPr="00AC7955" w:rsidRDefault="00AC7955" w:rsidP="00AC7955">
      <w:pPr>
        <w:spacing w:after="0" w:line="240" w:lineRule="auto"/>
        <w:jc w:val="center"/>
        <w:rPr>
          <w:rFonts w:ascii="Verdana" w:hAnsi="Verdana"/>
          <w:b/>
          <w:u w:val="single"/>
        </w:rPr>
      </w:pPr>
    </w:p>
    <w:tbl>
      <w:tblPr>
        <w:tblW w:w="897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093"/>
        <w:gridCol w:w="6885"/>
      </w:tblGrid>
      <w:tr w:rsidR="00882082" w:rsidRPr="00AC7955" w:rsidTr="00AC7955">
        <w:tc>
          <w:tcPr>
            <w:tcW w:w="8978" w:type="dxa"/>
            <w:gridSpan w:val="2"/>
            <w:shd w:val="clear" w:color="auto" w:fill="D9D9D9" w:themeFill="background1" w:themeFillShade="D9"/>
          </w:tcPr>
          <w:p w:rsidR="00882082" w:rsidRPr="00AC7955" w:rsidRDefault="008E056E" w:rsidP="008E056E">
            <w:pPr>
              <w:spacing w:after="0" w:line="240" w:lineRule="auto"/>
              <w:jc w:val="center"/>
              <w:rPr>
                <w:rFonts w:ascii="Verdana" w:eastAsia="Times New Roman" w:hAnsi="Verdana" w:cs="Arial"/>
                <w:b/>
                <w:iCs/>
                <w:sz w:val="24"/>
                <w:szCs w:val="24"/>
              </w:rPr>
            </w:pPr>
            <w:r w:rsidRPr="00AC7955">
              <w:rPr>
                <w:rFonts w:ascii="Verdana" w:eastAsia="Calibri" w:hAnsi="Verdana" w:cs="Times New Roman"/>
                <w:b/>
                <w:color w:val="000000"/>
                <w:sz w:val="24"/>
                <w:szCs w:val="24"/>
              </w:rPr>
              <w:t xml:space="preserve">Prueba de daño </w:t>
            </w:r>
          </w:p>
        </w:tc>
      </w:tr>
      <w:tr w:rsidR="00522F6E" w:rsidRPr="00AC7955" w:rsidTr="00882082">
        <w:tc>
          <w:tcPr>
            <w:tcW w:w="2093" w:type="dxa"/>
            <w:shd w:val="clear" w:color="auto" w:fill="auto"/>
          </w:tcPr>
          <w:p w:rsidR="00522F6E" w:rsidRPr="00AC7955" w:rsidRDefault="005E04AA" w:rsidP="00882082">
            <w:pPr>
              <w:spacing w:after="0" w:line="240" w:lineRule="auto"/>
              <w:jc w:val="center"/>
              <w:rPr>
                <w:rFonts w:ascii="Verdana" w:eastAsia="Calibri" w:hAnsi="Verdana" w:cs="Times New Roman"/>
                <w:b/>
                <w:sz w:val="18"/>
                <w:szCs w:val="18"/>
                <w:lang w:val="es-MX"/>
              </w:rPr>
            </w:pPr>
            <w:r w:rsidRPr="00AC7955">
              <w:rPr>
                <w:rFonts w:ascii="Verdana" w:eastAsia="Calibri" w:hAnsi="Verdana" w:cs="Times New Roman"/>
                <w:b/>
                <w:sz w:val="18"/>
                <w:szCs w:val="18"/>
                <w:lang w:val="es-MX"/>
              </w:rPr>
              <w:t xml:space="preserve">Breve </w:t>
            </w:r>
            <w:r w:rsidR="00882082" w:rsidRPr="00AC7955">
              <w:rPr>
                <w:rFonts w:ascii="Verdana" w:eastAsia="Calibri" w:hAnsi="Verdana" w:cs="Times New Roman"/>
                <w:b/>
                <w:sz w:val="18"/>
                <w:szCs w:val="18"/>
                <w:lang w:val="es-MX"/>
              </w:rPr>
              <w:t>Descripción</w:t>
            </w:r>
          </w:p>
        </w:tc>
        <w:tc>
          <w:tcPr>
            <w:tcW w:w="6885" w:type="dxa"/>
            <w:shd w:val="clear" w:color="auto" w:fill="auto"/>
          </w:tcPr>
          <w:p w:rsidR="00AC7955" w:rsidRPr="00AC7955" w:rsidRDefault="00AC7955" w:rsidP="00AC7955">
            <w:pPr>
              <w:jc w:val="both"/>
              <w:rPr>
                <w:rFonts w:ascii="Verdana" w:eastAsia="Times New Roman" w:hAnsi="Verdana" w:cs="Arial"/>
                <w:sz w:val="20"/>
                <w:szCs w:val="20"/>
                <w:lang w:val="es-MX" w:eastAsia="es-ES"/>
              </w:rPr>
            </w:pPr>
            <w:r w:rsidRPr="00AC7955">
              <w:rPr>
                <w:rFonts w:ascii="Verdana" w:eastAsia="Times New Roman" w:hAnsi="Verdana" w:cs="Arial"/>
                <w:sz w:val="20"/>
                <w:szCs w:val="20"/>
                <w:lang w:val="es-MX" w:eastAsia="es-ES"/>
              </w:rPr>
              <w:t>Se considera que, a fin de delimitar nuestro tema, puedan desarrollarse brevemente algunas reflexiones que, a manera de pregunta, sirvan como facilitadores del debate, a saber:</w:t>
            </w:r>
          </w:p>
          <w:p w:rsidR="00AC7955" w:rsidRPr="00AC7955" w:rsidRDefault="00AC7955" w:rsidP="00AC7955">
            <w:pPr>
              <w:pStyle w:val="Prrafodelista"/>
              <w:numPr>
                <w:ilvl w:val="0"/>
                <w:numId w:val="5"/>
              </w:numPr>
              <w:spacing w:after="0" w:line="240" w:lineRule="auto"/>
              <w:jc w:val="both"/>
              <w:rPr>
                <w:rFonts w:ascii="Verdana" w:eastAsia="Times New Roman" w:hAnsi="Verdana" w:cs="Arial"/>
                <w:sz w:val="20"/>
                <w:szCs w:val="20"/>
                <w:lang w:val="es-MX" w:eastAsia="es-ES"/>
              </w:rPr>
            </w:pPr>
            <w:r w:rsidRPr="00AC7955">
              <w:rPr>
                <w:rFonts w:ascii="Verdana" w:eastAsia="Times New Roman" w:hAnsi="Verdana" w:cs="Arial"/>
                <w:sz w:val="20"/>
                <w:szCs w:val="20"/>
                <w:lang w:val="es-MX" w:eastAsia="es-ES"/>
              </w:rPr>
              <w:t>¿Es obligatoria la prueba de daño?</w:t>
            </w:r>
          </w:p>
          <w:p w:rsidR="008E056E" w:rsidRPr="00AC7955" w:rsidRDefault="00AC7955" w:rsidP="00AC7955">
            <w:pPr>
              <w:pStyle w:val="Prrafodelista"/>
              <w:numPr>
                <w:ilvl w:val="0"/>
                <w:numId w:val="5"/>
              </w:numPr>
              <w:spacing w:after="0" w:line="240" w:lineRule="auto"/>
              <w:jc w:val="both"/>
              <w:rPr>
                <w:rFonts w:ascii="Verdana" w:eastAsia="Times New Roman" w:hAnsi="Verdana" w:cs="Arial"/>
                <w:sz w:val="20"/>
                <w:szCs w:val="20"/>
                <w:lang w:val="es-MX" w:eastAsia="es-ES"/>
              </w:rPr>
            </w:pPr>
            <w:r w:rsidRPr="00AC7955">
              <w:rPr>
                <w:rFonts w:ascii="Verdana" w:eastAsia="Times New Roman" w:hAnsi="Verdana" w:cs="Arial"/>
                <w:sz w:val="20"/>
                <w:szCs w:val="20"/>
                <w:lang w:val="es-MX" w:eastAsia="es-ES"/>
              </w:rPr>
              <w:t>¿Son conceptos diferentes la prueba de daño y la fundamentación y motivación?</w:t>
            </w:r>
          </w:p>
          <w:p w:rsidR="00AC7955" w:rsidRPr="00BA0431" w:rsidRDefault="00AC7955" w:rsidP="00AC7955">
            <w:pPr>
              <w:pStyle w:val="Prrafodelista"/>
              <w:numPr>
                <w:ilvl w:val="0"/>
                <w:numId w:val="5"/>
              </w:numPr>
              <w:spacing w:after="0" w:line="240" w:lineRule="auto"/>
              <w:jc w:val="both"/>
              <w:rPr>
                <w:rFonts w:ascii="Verdana" w:eastAsia="Times New Roman" w:hAnsi="Verdana" w:cs="Arial"/>
                <w:sz w:val="20"/>
                <w:szCs w:val="20"/>
                <w:lang w:val="es-MX" w:eastAsia="es-ES"/>
              </w:rPr>
            </w:pPr>
            <w:r w:rsidRPr="00AC7955">
              <w:rPr>
                <w:rFonts w:ascii="Verdana" w:eastAsia="Times New Roman" w:hAnsi="Verdana" w:cs="Arial"/>
                <w:sz w:val="20"/>
                <w:szCs w:val="20"/>
                <w:lang w:val="es-MX" w:eastAsia="es-ES"/>
              </w:rPr>
              <w:t>¿Quién y cuándo se debe realizar la prueba de daño?</w:t>
            </w:r>
          </w:p>
          <w:p w:rsidR="00AC7955" w:rsidRPr="00AC7955" w:rsidRDefault="00AC7955" w:rsidP="00AC7955">
            <w:pPr>
              <w:pStyle w:val="Prrafodelista"/>
              <w:numPr>
                <w:ilvl w:val="0"/>
                <w:numId w:val="5"/>
              </w:numPr>
              <w:spacing w:after="0" w:line="240" w:lineRule="auto"/>
              <w:jc w:val="both"/>
              <w:rPr>
                <w:rFonts w:ascii="Verdana" w:eastAsia="Times New Roman" w:hAnsi="Verdana" w:cs="Arial"/>
                <w:sz w:val="20"/>
                <w:szCs w:val="20"/>
                <w:lang w:val="es-MX" w:eastAsia="es-ES"/>
              </w:rPr>
            </w:pPr>
            <w:r w:rsidRPr="00AC7955">
              <w:rPr>
                <w:rFonts w:ascii="Verdana" w:eastAsia="Times New Roman" w:hAnsi="Verdana" w:cs="Arial"/>
                <w:sz w:val="20"/>
                <w:szCs w:val="20"/>
                <w:lang w:val="es-MX" w:eastAsia="es-ES"/>
              </w:rPr>
              <w:t>¿Qué requisitos son necesarios acreditar en la prueba de daño?</w:t>
            </w:r>
          </w:p>
          <w:p w:rsidR="00AC7955" w:rsidRPr="00AC7955" w:rsidRDefault="00AC7955" w:rsidP="00EB01FF">
            <w:pPr>
              <w:pStyle w:val="Prrafodelista"/>
              <w:numPr>
                <w:ilvl w:val="0"/>
                <w:numId w:val="5"/>
              </w:numPr>
              <w:spacing w:after="0" w:line="240" w:lineRule="auto"/>
              <w:jc w:val="both"/>
              <w:rPr>
                <w:rFonts w:ascii="Arial" w:eastAsia="Times New Roman" w:hAnsi="Arial" w:cs="Arial"/>
                <w:lang w:val="es-MX" w:eastAsia="es-ES"/>
              </w:rPr>
            </w:pPr>
            <w:r w:rsidRPr="00AC7955">
              <w:rPr>
                <w:rFonts w:ascii="Verdana" w:eastAsia="Times New Roman" w:hAnsi="Verdana" w:cs="Arial"/>
                <w:sz w:val="20"/>
                <w:szCs w:val="20"/>
                <w:lang w:val="es-MX" w:eastAsia="es-ES"/>
              </w:rPr>
              <w:t>¿Cuáles son las semejanzas y diferencias de la prueba de daño y la prueba de interés público?</w:t>
            </w:r>
          </w:p>
        </w:tc>
      </w:tr>
      <w:tr w:rsidR="00522F6E" w:rsidRPr="00AC7955" w:rsidTr="00882082">
        <w:tc>
          <w:tcPr>
            <w:tcW w:w="2093" w:type="dxa"/>
            <w:shd w:val="clear" w:color="auto" w:fill="auto"/>
          </w:tcPr>
          <w:p w:rsidR="00522F6E" w:rsidRPr="00AC7955" w:rsidRDefault="00882082" w:rsidP="00882082">
            <w:pPr>
              <w:spacing w:after="0" w:line="240" w:lineRule="auto"/>
              <w:jc w:val="center"/>
              <w:rPr>
                <w:rFonts w:ascii="Verdana" w:eastAsia="Calibri" w:hAnsi="Verdana" w:cs="Times New Roman"/>
                <w:b/>
                <w:sz w:val="18"/>
                <w:szCs w:val="18"/>
                <w:lang w:val="es-MX"/>
              </w:rPr>
            </w:pPr>
            <w:r w:rsidRPr="00AC7955">
              <w:rPr>
                <w:rFonts w:ascii="Verdana" w:eastAsia="Calibri" w:hAnsi="Verdana" w:cs="Times New Roman"/>
                <w:b/>
                <w:sz w:val="18"/>
                <w:szCs w:val="18"/>
                <w:lang w:val="es-MX"/>
              </w:rPr>
              <w:t>País</w:t>
            </w:r>
          </w:p>
        </w:tc>
        <w:tc>
          <w:tcPr>
            <w:tcW w:w="6885" w:type="dxa"/>
            <w:shd w:val="clear" w:color="auto" w:fill="auto"/>
          </w:tcPr>
          <w:p w:rsidR="00522F6E" w:rsidRPr="00AC7955" w:rsidRDefault="00F37EC6" w:rsidP="00522F6E">
            <w:pPr>
              <w:autoSpaceDE w:val="0"/>
              <w:autoSpaceDN w:val="0"/>
              <w:adjustRightInd w:val="0"/>
              <w:spacing w:after="0" w:line="240" w:lineRule="auto"/>
              <w:rPr>
                <w:rFonts w:ascii="Verdana" w:eastAsia="Times New Roman" w:hAnsi="Verdana" w:cs="Arial"/>
                <w:iCs/>
              </w:rPr>
            </w:pPr>
            <w:r>
              <w:rPr>
                <w:rFonts w:ascii="Verdana" w:eastAsia="Times New Roman" w:hAnsi="Verdana" w:cs="Arial"/>
                <w:iCs/>
              </w:rPr>
              <w:t>México</w:t>
            </w:r>
          </w:p>
        </w:tc>
      </w:tr>
      <w:tr w:rsidR="00522F6E" w:rsidRPr="00AC7955" w:rsidTr="00882082">
        <w:tc>
          <w:tcPr>
            <w:tcW w:w="2093" w:type="dxa"/>
            <w:shd w:val="clear" w:color="auto" w:fill="auto"/>
          </w:tcPr>
          <w:p w:rsidR="00522F6E" w:rsidRPr="00AC7955" w:rsidRDefault="00882082" w:rsidP="00882082">
            <w:pPr>
              <w:spacing w:after="0" w:line="240" w:lineRule="auto"/>
              <w:jc w:val="center"/>
              <w:rPr>
                <w:rFonts w:ascii="Verdana" w:eastAsia="Calibri" w:hAnsi="Verdana" w:cs="Times New Roman"/>
                <w:b/>
                <w:sz w:val="18"/>
                <w:szCs w:val="18"/>
                <w:lang w:val="es-MX"/>
              </w:rPr>
            </w:pPr>
            <w:r w:rsidRPr="00AC7955">
              <w:rPr>
                <w:rFonts w:ascii="Verdana" w:eastAsia="Calibri" w:hAnsi="Verdana" w:cs="Times New Roman"/>
                <w:b/>
                <w:sz w:val="18"/>
                <w:szCs w:val="18"/>
                <w:lang w:val="es-MX"/>
              </w:rPr>
              <w:t xml:space="preserve">Consideraciones Generales </w:t>
            </w:r>
            <w:r w:rsidRPr="00AC7955">
              <w:rPr>
                <w:rFonts w:ascii="Verdana" w:eastAsia="Calibri" w:hAnsi="Verdana" w:cs="Times New Roman"/>
                <w:sz w:val="18"/>
                <w:szCs w:val="18"/>
                <w:lang w:val="es-MX"/>
              </w:rPr>
              <w:t>(Relevancia del tema)</w:t>
            </w:r>
          </w:p>
        </w:tc>
        <w:tc>
          <w:tcPr>
            <w:tcW w:w="6885" w:type="dxa"/>
            <w:shd w:val="clear" w:color="auto" w:fill="auto"/>
          </w:tcPr>
          <w:p w:rsidR="006D192B" w:rsidRPr="00BB2492" w:rsidRDefault="006D192B" w:rsidP="006D192B">
            <w:pPr>
              <w:spacing w:after="0" w:line="240" w:lineRule="auto"/>
              <w:jc w:val="both"/>
              <w:rPr>
                <w:rFonts w:ascii="Verdana" w:eastAsia="Times New Roman" w:hAnsi="Verdana" w:cs="Arial"/>
                <w:iCs/>
                <w:sz w:val="20"/>
                <w:szCs w:val="20"/>
              </w:rPr>
            </w:pPr>
            <w:r w:rsidRPr="00BB2492">
              <w:rPr>
                <w:rFonts w:ascii="Verdana" w:eastAsia="Times New Roman" w:hAnsi="Verdana" w:cs="Arial"/>
                <w:iCs/>
                <w:sz w:val="20"/>
                <w:szCs w:val="20"/>
              </w:rPr>
              <w:t>Con el paso del tiempo se ha logrado consagrar el derecho de acceso a la información como un derecho fundamental, contenido dentro del derecho humano a la libertad de expresión, mismo que conlleva múltiples beneficios, entre los cuales destacan: promover la transparencia y la rendición de cuentas de los sujetos obligados, impulsar la confianza entre la sociedad y las autoridades y fomentar la participación social en las decisiones y los asuntos públicos.</w:t>
            </w:r>
          </w:p>
          <w:p w:rsidR="006D192B" w:rsidRPr="00BB2492" w:rsidRDefault="006D192B" w:rsidP="000E1181">
            <w:pPr>
              <w:spacing w:after="0" w:line="240" w:lineRule="auto"/>
              <w:jc w:val="both"/>
              <w:rPr>
                <w:rFonts w:ascii="Verdana" w:eastAsia="Times New Roman" w:hAnsi="Verdana" w:cs="Arial"/>
                <w:iCs/>
                <w:sz w:val="20"/>
                <w:szCs w:val="20"/>
              </w:rPr>
            </w:pPr>
          </w:p>
          <w:p w:rsidR="000E1181" w:rsidRDefault="00BB2492" w:rsidP="00BB2492">
            <w:pPr>
              <w:spacing w:after="0" w:line="240" w:lineRule="auto"/>
              <w:jc w:val="both"/>
              <w:rPr>
                <w:rFonts w:ascii="Verdana" w:eastAsia="Times New Roman" w:hAnsi="Verdana" w:cs="Arial"/>
                <w:iCs/>
                <w:sz w:val="20"/>
                <w:szCs w:val="20"/>
              </w:rPr>
            </w:pPr>
            <w:r w:rsidRPr="00BB2492">
              <w:rPr>
                <w:rFonts w:ascii="Verdana" w:eastAsia="Times New Roman" w:hAnsi="Verdana" w:cs="Arial"/>
                <w:iCs/>
                <w:sz w:val="20"/>
                <w:szCs w:val="20"/>
              </w:rPr>
              <w:t xml:space="preserve">De tal forma que al momento de limitar el ejercicio de este derecho, por medio de la clasificación de la información, es </w:t>
            </w:r>
            <w:r>
              <w:rPr>
                <w:rFonts w:ascii="Verdana" w:eastAsia="Times New Roman" w:hAnsi="Verdana" w:cs="Arial"/>
                <w:iCs/>
                <w:sz w:val="20"/>
                <w:szCs w:val="20"/>
              </w:rPr>
              <w:t xml:space="preserve">vital que </w:t>
            </w:r>
            <w:r w:rsidRPr="00BB2492">
              <w:rPr>
                <w:rFonts w:ascii="Verdana" w:eastAsia="Times New Roman" w:hAnsi="Verdana" w:cs="Arial"/>
                <w:iCs/>
                <w:sz w:val="20"/>
                <w:szCs w:val="20"/>
              </w:rPr>
              <w:t>el Estado (autoridades, sujetos obligados)</w:t>
            </w:r>
            <w:r>
              <w:rPr>
                <w:rFonts w:ascii="Verdana" w:eastAsia="Times New Roman" w:hAnsi="Verdana" w:cs="Arial"/>
                <w:iCs/>
                <w:sz w:val="20"/>
                <w:szCs w:val="20"/>
              </w:rPr>
              <w:t xml:space="preserve"> </w:t>
            </w:r>
            <w:r w:rsidRPr="00BB2492">
              <w:rPr>
                <w:rFonts w:ascii="Verdana" w:eastAsia="Times New Roman" w:hAnsi="Verdana" w:cs="Arial"/>
                <w:iCs/>
                <w:sz w:val="20"/>
                <w:szCs w:val="20"/>
              </w:rPr>
              <w:t>acredit</w:t>
            </w:r>
            <w:r>
              <w:rPr>
                <w:rFonts w:ascii="Verdana" w:eastAsia="Times New Roman" w:hAnsi="Verdana" w:cs="Arial"/>
                <w:iCs/>
                <w:sz w:val="20"/>
                <w:szCs w:val="20"/>
              </w:rPr>
              <w:t>e</w:t>
            </w:r>
            <w:r w:rsidRPr="00BB2492">
              <w:rPr>
                <w:rFonts w:ascii="Verdana" w:eastAsia="Times New Roman" w:hAnsi="Verdana" w:cs="Arial"/>
                <w:iCs/>
                <w:sz w:val="20"/>
                <w:szCs w:val="20"/>
              </w:rPr>
              <w:t xml:space="preserve"> de manera fiable, </w:t>
            </w:r>
            <w:r w:rsidR="000E1181" w:rsidRPr="00BB2492">
              <w:rPr>
                <w:rFonts w:ascii="Verdana" w:eastAsia="Times New Roman" w:hAnsi="Verdana" w:cs="Arial"/>
                <w:iCs/>
                <w:sz w:val="20"/>
                <w:szCs w:val="20"/>
              </w:rPr>
              <w:t xml:space="preserve">que </w:t>
            </w:r>
            <w:r w:rsidRPr="00BB2492">
              <w:rPr>
                <w:rFonts w:ascii="Verdana" w:eastAsia="Times New Roman" w:hAnsi="Verdana" w:cs="Arial"/>
                <w:iCs/>
                <w:sz w:val="20"/>
                <w:szCs w:val="20"/>
              </w:rPr>
              <w:t xml:space="preserve">si la </w:t>
            </w:r>
            <w:r w:rsidR="000E1181" w:rsidRPr="00BB2492">
              <w:rPr>
                <w:rFonts w:ascii="Verdana" w:eastAsia="Times New Roman" w:hAnsi="Verdana" w:cs="Arial"/>
                <w:iCs/>
                <w:sz w:val="20"/>
                <w:szCs w:val="20"/>
              </w:rPr>
              <w:t xml:space="preserve">información se clasifica como reservada, </w:t>
            </w:r>
            <w:r>
              <w:rPr>
                <w:rFonts w:ascii="Verdana" w:eastAsia="Times New Roman" w:hAnsi="Verdana" w:cs="Arial"/>
                <w:iCs/>
                <w:sz w:val="20"/>
                <w:szCs w:val="20"/>
              </w:rPr>
              <w:t xml:space="preserve">es debido a que </w:t>
            </w:r>
            <w:r w:rsidR="000E1181" w:rsidRPr="00BB2492">
              <w:rPr>
                <w:rFonts w:ascii="Verdana" w:eastAsia="Times New Roman" w:hAnsi="Verdana" w:cs="Arial"/>
                <w:iCs/>
                <w:sz w:val="20"/>
                <w:szCs w:val="20"/>
              </w:rPr>
              <w:t xml:space="preserve">su publicación hará más daño que beneficio social </w:t>
            </w:r>
            <w:r>
              <w:rPr>
                <w:rFonts w:ascii="Verdana" w:eastAsia="Times New Roman" w:hAnsi="Verdana" w:cs="Arial"/>
                <w:iCs/>
                <w:sz w:val="20"/>
                <w:szCs w:val="20"/>
              </w:rPr>
              <w:t>por</w:t>
            </w:r>
            <w:r w:rsidR="000E1181" w:rsidRPr="00BB2492">
              <w:rPr>
                <w:rFonts w:ascii="Verdana" w:eastAsia="Times New Roman" w:hAnsi="Verdana" w:cs="Arial"/>
                <w:iCs/>
                <w:sz w:val="20"/>
                <w:szCs w:val="20"/>
              </w:rPr>
              <w:t xml:space="preserve"> ser </w:t>
            </w:r>
            <w:r w:rsidRPr="00BB2492">
              <w:rPr>
                <w:rFonts w:ascii="Verdana" w:eastAsia="Times New Roman" w:hAnsi="Verdana" w:cs="Arial"/>
                <w:iCs/>
                <w:sz w:val="20"/>
                <w:szCs w:val="20"/>
              </w:rPr>
              <w:t>divulgada, aunado a l</w:t>
            </w:r>
            <w:r w:rsidR="000E1181" w:rsidRPr="00BB2492">
              <w:rPr>
                <w:rFonts w:ascii="Verdana" w:eastAsia="Times New Roman" w:hAnsi="Verdana" w:cs="Arial"/>
                <w:iCs/>
                <w:sz w:val="20"/>
                <w:szCs w:val="20"/>
              </w:rPr>
              <w:t>a justificación jurídica de por</w:t>
            </w:r>
            <w:r w:rsidRPr="00BB2492">
              <w:rPr>
                <w:rFonts w:ascii="Verdana" w:eastAsia="Times New Roman" w:hAnsi="Verdana" w:cs="Arial"/>
                <w:iCs/>
                <w:sz w:val="20"/>
                <w:szCs w:val="20"/>
              </w:rPr>
              <w:t xml:space="preserve"> </w:t>
            </w:r>
            <w:r w:rsidR="000E1181" w:rsidRPr="00BB2492">
              <w:rPr>
                <w:rFonts w:ascii="Verdana" w:eastAsia="Times New Roman" w:hAnsi="Verdana" w:cs="Arial"/>
                <w:iCs/>
                <w:sz w:val="20"/>
                <w:szCs w:val="20"/>
              </w:rPr>
              <w:t>qué y bajo qué argumento legal (fundar y motivar) se está reservando la información</w:t>
            </w:r>
            <w:r w:rsidRPr="00BB2492">
              <w:rPr>
                <w:rFonts w:ascii="Verdana" w:eastAsia="Times New Roman" w:hAnsi="Verdana" w:cs="Arial"/>
                <w:iCs/>
                <w:sz w:val="20"/>
                <w:szCs w:val="20"/>
              </w:rPr>
              <w:t>; es decir, acreditar la “</w:t>
            </w:r>
            <w:r w:rsidR="000E1181" w:rsidRPr="00BB2492">
              <w:rPr>
                <w:rFonts w:ascii="Verdana" w:eastAsia="Times New Roman" w:hAnsi="Verdana" w:cs="Arial"/>
                <w:iCs/>
                <w:sz w:val="20"/>
                <w:szCs w:val="20"/>
              </w:rPr>
              <w:t>prueba de daño</w:t>
            </w:r>
            <w:r w:rsidRPr="00BB2492">
              <w:rPr>
                <w:rFonts w:ascii="Verdana" w:eastAsia="Times New Roman" w:hAnsi="Verdana" w:cs="Arial"/>
                <w:iCs/>
                <w:sz w:val="20"/>
                <w:szCs w:val="20"/>
              </w:rPr>
              <w:t>”</w:t>
            </w:r>
            <w:r w:rsidR="000E1181" w:rsidRPr="00BB2492">
              <w:rPr>
                <w:rFonts w:ascii="Verdana" w:eastAsia="Times New Roman" w:hAnsi="Verdana" w:cs="Arial"/>
                <w:iCs/>
                <w:sz w:val="20"/>
                <w:szCs w:val="20"/>
              </w:rPr>
              <w:t>.</w:t>
            </w:r>
          </w:p>
          <w:p w:rsidR="00BB2492" w:rsidRDefault="00BB2492" w:rsidP="00BB2492">
            <w:pPr>
              <w:spacing w:after="0" w:line="240" w:lineRule="auto"/>
              <w:jc w:val="both"/>
              <w:rPr>
                <w:rFonts w:ascii="Verdana" w:eastAsia="Times New Roman" w:hAnsi="Verdana" w:cs="Arial"/>
                <w:iCs/>
                <w:sz w:val="20"/>
                <w:szCs w:val="20"/>
              </w:rPr>
            </w:pPr>
          </w:p>
          <w:p w:rsidR="00BB2492" w:rsidRDefault="00BB2492" w:rsidP="00BB2492">
            <w:pPr>
              <w:spacing w:after="0" w:line="240" w:lineRule="auto"/>
              <w:jc w:val="both"/>
              <w:rPr>
                <w:rFonts w:ascii="Verdana" w:eastAsia="Times New Roman" w:hAnsi="Verdana" w:cs="Arial"/>
                <w:iCs/>
                <w:sz w:val="20"/>
                <w:szCs w:val="20"/>
              </w:rPr>
            </w:pPr>
            <w:r>
              <w:rPr>
                <w:rFonts w:ascii="Verdana" w:eastAsia="Times New Roman" w:hAnsi="Verdana" w:cs="Arial"/>
                <w:iCs/>
                <w:sz w:val="20"/>
                <w:szCs w:val="20"/>
              </w:rPr>
              <w:t>Así, sólo en los casos establecidos en los ordenamientos jurídicos aplicables</w:t>
            </w:r>
            <w:r w:rsidR="0001755E">
              <w:rPr>
                <w:rFonts w:ascii="Verdana" w:eastAsia="Times New Roman" w:hAnsi="Verdana" w:cs="Arial"/>
                <w:iCs/>
                <w:sz w:val="20"/>
                <w:szCs w:val="20"/>
              </w:rPr>
              <w:t>, se podrá utilizar la “prueba de daño” para acotar el acceso a la información de las personas.</w:t>
            </w:r>
          </w:p>
          <w:p w:rsidR="00E01B26" w:rsidRDefault="00E01B26" w:rsidP="00BB2492">
            <w:pPr>
              <w:spacing w:after="0" w:line="240" w:lineRule="auto"/>
              <w:jc w:val="both"/>
              <w:rPr>
                <w:rFonts w:ascii="Verdana" w:eastAsia="Times New Roman" w:hAnsi="Verdana" w:cs="Arial"/>
                <w:iCs/>
                <w:sz w:val="20"/>
                <w:szCs w:val="20"/>
              </w:rPr>
            </w:pPr>
          </w:p>
          <w:p w:rsidR="00E01B26" w:rsidRPr="00BB2492" w:rsidRDefault="00E01B26" w:rsidP="00E01B26">
            <w:pPr>
              <w:spacing w:after="0" w:line="240" w:lineRule="auto"/>
              <w:jc w:val="both"/>
              <w:rPr>
                <w:rFonts w:ascii="Verdana" w:eastAsia="Times New Roman" w:hAnsi="Verdana" w:cs="Arial"/>
                <w:iCs/>
                <w:sz w:val="20"/>
                <w:szCs w:val="20"/>
              </w:rPr>
            </w:pPr>
            <w:r>
              <w:rPr>
                <w:rFonts w:ascii="Verdana" w:eastAsia="Times New Roman" w:hAnsi="Verdana" w:cs="Arial"/>
                <w:iCs/>
                <w:sz w:val="20"/>
                <w:szCs w:val="20"/>
              </w:rPr>
              <w:t xml:space="preserve">En ese sentido, se anexa a la presente, un documento que contiene material de apoyo </w:t>
            </w:r>
            <w:r w:rsidRPr="00E01B26">
              <w:rPr>
                <w:rFonts w:ascii="Verdana" w:eastAsia="Times New Roman" w:hAnsi="Verdana" w:cs="Arial"/>
                <w:iCs/>
                <w:sz w:val="20"/>
                <w:szCs w:val="20"/>
              </w:rPr>
              <w:t>para iniciar el primer debate temático</w:t>
            </w:r>
            <w:r>
              <w:rPr>
                <w:rFonts w:ascii="Verdana" w:eastAsia="Times New Roman" w:hAnsi="Verdana" w:cs="Arial"/>
                <w:iCs/>
                <w:sz w:val="20"/>
                <w:szCs w:val="20"/>
              </w:rPr>
              <w:t xml:space="preserve"> y que </w:t>
            </w:r>
            <w:r w:rsidRPr="00E01B26">
              <w:rPr>
                <w:rFonts w:ascii="Verdana" w:eastAsia="Times New Roman" w:hAnsi="Verdana" w:cs="Arial"/>
                <w:iCs/>
                <w:sz w:val="20"/>
                <w:szCs w:val="20"/>
                <w:lang w:val="es-MX"/>
              </w:rPr>
              <w:t xml:space="preserve">podría servir de insumo (no obligatorio), en </w:t>
            </w:r>
            <w:r>
              <w:rPr>
                <w:rFonts w:ascii="Verdana" w:eastAsia="Times New Roman" w:hAnsi="Verdana" w:cs="Arial"/>
                <w:iCs/>
                <w:sz w:val="20"/>
                <w:szCs w:val="20"/>
                <w:lang w:val="es-MX"/>
              </w:rPr>
              <w:t>el</w:t>
            </w:r>
            <w:r w:rsidRPr="00E01B26">
              <w:rPr>
                <w:rFonts w:ascii="Verdana" w:eastAsia="Times New Roman" w:hAnsi="Verdana" w:cs="Arial"/>
                <w:iCs/>
                <w:sz w:val="20"/>
                <w:szCs w:val="20"/>
                <w:lang w:val="es-MX"/>
              </w:rPr>
              <w:t xml:space="preserve"> que se desarrollan brevemente algunas reflexiones que, a manera de pregunta, sirvan como facilitadores del debate</w:t>
            </w:r>
            <w:r>
              <w:rPr>
                <w:rFonts w:ascii="Verdana" w:eastAsia="Times New Roman" w:hAnsi="Verdana" w:cs="Arial"/>
                <w:iCs/>
                <w:sz w:val="20"/>
                <w:szCs w:val="20"/>
                <w:lang w:val="es-MX"/>
              </w:rPr>
              <w:t>.</w:t>
            </w:r>
          </w:p>
        </w:tc>
      </w:tr>
      <w:tr w:rsidR="00522F6E" w:rsidRPr="00AC7955" w:rsidTr="00882082">
        <w:tc>
          <w:tcPr>
            <w:tcW w:w="2093" w:type="dxa"/>
            <w:shd w:val="clear" w:color="auto" w:fill="auto"/>
          </w:tcPr>
          <w:p w:rsidR="00882082" w:rsidRPr="00AC7955" w:rsidRDefault="00F01BA3" w:rsidP="00882082">
            <w:pPr>
              <w:spacing w:after="0" w:line="240" w:lineRule="auto"/>
              <w:jc w:val="center"/>
              <w:rPr>
                <w:rFonts w:ascii="Verdana" w:eastAsia="Calibri" w:hAnsi="Verdana" w:cs="Times New Roman"/>
                <w:b/>
                <w:sz w:val="18"/>
                <w:szCs w:val="18"/>
                <w:lang w:val="es-MX"/>
              </w:rPr>
            </w:pPr>
            <w:r>
              <w:rPr>
                <w:rFonts w:ascii="Verdana" w:eastAsia="Calibri" w:hAnsi="Verdana" w:cs="Times New Roman"/>
                <w:b/>
                <w:sz w:val="18"/>
                <w:szCs w:val="18"/>
                <w:lang w:val="es-MX"/>
              </w:rPr>
              <w:t xml:space="preserve"> </w:t>
            </w:r>
            <w:r w:rsidR="00882082" w:rsidRPr="00AC7955">
              <w:rPr>
                <w:rFonts w:ascii="Verdana" w:eastAsia="Calibri" w:hAnsi="Verdana" w:cs="Times New Roman"/>
                <w:b/>
                <w:sz w:val="18"/>
                <w:szCs w:val="18"/>
                <w:lang w:val="es-MX"/>
              </w:rPr>
              <w:t xml:space="preserve">Consideraciones </w:t>
            </w:r>
          </w:p>
          <w:p w:rsidR="00522F6E" w:rsidRPr="00AC7955" w:rsidRDefault="00882082" w:rsidP="0033112F">
            <w:pPr>
              <w:spacing w:after="0" w:line="240" w:lineRule="auto"/>
              <w:jc w:val="center"/>
              <w:rPr>
                <w:rFonts w:ascii="Verdana" w:eastAsia="Calibri" w:hAnsi="Verdana" w:cs="Times New Roman"/>
                <w:b/>
                <w:sz w:val="18"/>
                <w:szCs w:val="18"/>
                <w:lang w:val="es-MX"/>
              </w:rPr>
            </w:pPr>
            <w:r w:rsidRPr="00AC7955">
              <w:rPr>
                <w:rFonts w:ascii="Verdana" w:eastAsia="Calibri" w:hAnsi="Verdana" w:cs="Times New Roman"/>
                <w:sz w:val="18"/>
                <w:szCs w:val="18"/>
                <w:lang w:val="es-MX"/>
              </w:rPr>
              <w:t>(Posición sobre el tema)</w:t>
            </w:r>
          </w:p>
        </w:tc>
        <w:tc>
          <w:tcPr>
            <w:tcW w:w="6885" w:type="dxa"/>
            <w:shd w:val="clear" w:color="auto" w:fill="auto"/>
          </w:tcPr>
          <w:p w:rsidR="00522F6E" w:rsidRPr="00CC24D9" w:rsidRDefault="0001755E" w:rsidP="0001755E">
            <w:pPr>
              <w:spacing w:after="0" w:line="240" w:lineRule="auto"/>
              <w:jc w:val="both"/>
              <w:rPr>
                <w:rFonts w:ascii="Verdana" w:eastAsia="Times New Roman" w:hAnsi="Verdana" w:cs="Arial"/>
                <w:iCs/>
                <w:sz w:val="20"/>
                <w:szCs w:val="20"/>
              </w:rPr>
            </w:pPr>
            <w:r w:rsidRPr="00CC24D9">
              <w:rPr>
                <w:rFonts w:ascii="Verdana" w:eastAsia="Times New Roman" w:hAnsi="Verdana" w:cs="Arial"/>
                <w:iCs/>
                <w:sz w:val="20"/>
                <w:szCs w:val="20"/>
              </w:rPr>
              <w:t>En México se considera que la “prueba de daño” únicamente es necesaria para acreditar los supuestos establecidos por el artículo 13 de la Ley Federal de</w:t>
            </w:r>
            <w:r w:rsidR="00255012" w:rsidRPr="00CC24D9">
              <w:rPr>
                <w:rFonts w:ascii="Verdana" w:eastAsia="Times New Roman" w:hAnsi="Verdana" w:cs="Arial"/>
                <w:iCs/>
                <w:sz w:val="20"/>
                <w:szCs w:val="20"/>
              </w:rPr>
              <w:t xml:space="preserve"> Transparencia y</w:t>
            </w:r>
            <w:r w:rsidRPr="00CC24D9">
              <w:rPr>
                <w:rFonts w:ascii="Verdana" w:eastAsia="Times New Roman" w:hAnsi="Verdana" w:cs="Arial"/>
                <w:iCs/>
                <w:sz w:val="20"/>
                <w:szCs w:val="20"/>
              </w:rPr>
              <w:t xml:space="preserve"> Acceso a la Información Pública Gubernamental (LFTAIPG), en la que se deben cumplir tres requisitos:</w:t>
            </w:r>
          </w:p>
          <w:p w:rsidR="0001755E" w:rsidRPr="00CC24D9" w:rsidRDefault="0001755E" w:rsidP="0001755E">
            <w:pPr>
              <w:spacing w:after="0" w:line="240" w:lineRule="auto"/>
              <w:jc w:val="both"/>
              <w:rPr>
                <w:rFonts w:ascii="Verdana" w:eastAsia="Times New Roman" w:hAnsi="Verdana" w:cs="Arial"/>
                <w:iCs/>
                <w:sz w:val="20"/>
                <w:szCs w:val="20"/>
              </w:rPr>
            </w:pPr>
          </w:p>
          <w:p w:rsidR="0001755E" w:rsidRPr="00CC24D9" w:rsidRDefault="0001755E" w:rsidP="0001755E">
            <w:pPr>
              <w:spacing w:after="0" w:line="240" w:lineRule="auto"/>
              <w:jc w:val="both"/>
              <w:rPr>
                <w:rFonts w:ascii="Verdana" w:eastAsia="Times New Roman" w:hAnsi="Verdana" w:cs="Arial"/>
                <w:iCs/>
                <w:sz w:val="20"/>
                <w:szCs w:val="20"/>
              </w:rPr>
            </w:pPr>
            <w:r w:rsidRPr="00CC24D9">
              <w:rPr>
                <w:rFonts w:ascii="Verdana" w:eastAsia="Times New Roman" w:hAnsi="Verdana" w:cs="Arial"/>
                <w:iCs/>
                <w:sz w:val="20"/>
                <w:szCs w:val="20"/>
              </w:rPr>
              <w:lastRenderedPageBreak/>
              <w:t>1) Que el daño sea presente, es decir que se cause en el futuro inmediato a la difusión de la información,</w:t>
            </w:r>
          </w:p>
          <w:p w:rsidR="0001755E" w:rsidRPr="00CC24D9" w:rsidRDefault="0001755E" w:rsidP="0001755E">
            <w:pPr>
              <w:spacing w:after="0" w:line="240" w:lineRule="auto"/>
              <w:jc w:val="both"/>
              <w:rPr>
                <w:rFonts w:ascii="Verdana" w:eastAsia="Times New Roman" w:hAnsi="Verdana" w:cs="Arial"/>
                <w:iCs/>
                <w:sz w:val="20"/>
                <w:szCs w:val="20"/>
              </w:rPr>
            </w:pPr>
            <w:r w:rsidRPr="00CC24D9">
              <w:rPr>
                <w:rFonts w:ascii="Verdana" w:eastAsia="Times New Roman" w:hAnsi="Verdana" w:cs="Arial"/>
                <w:iCs/>
                <w:sz w:val="20"/>
                <w:szCs w:val="20"/>
              </w:rPr>
              <w:t xml:space="preserve">2) Que el daño sea probable, teniendo una alta posibilidad de generarse el daño, y </w:t>
            </w:r>
          </w:p>
          <w:p w:rsidR="0001755E" w:rsidRPr="00CC24D9" w:rsidRDefault="0001755E" w:rsidP="0001755E">
            <w:pPr>
              <w:spacing w:after="0" w:line="240" w:lineRule="auto"/>
              <w:jc w:val="both"/>
              <w:rPr>
                <w:rFonts w:ascii="Verdana" w:eastAsia="Times New Roman" w:hAnsi="Verdana" w:cs="Arial"/>
                <w:iCs/>
                <w:sz w:val="20"/>
                <w:szCs w:val="20"/>
              </w:rPr>
            </w:pPr>
            <w:r w:rsidRPr="00CC24D9">
              <w:rPr>
                <w:rFonts w:ascii="Verdana" w:eastAsia="Times New Roman" w:hAnsi="Verdana" w:cs="Arial"/>
                <w:iCs/>
                <w:sz w:val="20"/>
                <w:szCs w:val="20"/>
              </w:rPr>
              <w:t>3) Que el daño sea específico, es decir respecto de un asunto en particular.</w:t>
            </w:r>
          </w:p>
          <w:p w:rsidR="0001755E" w:rsidRPr="00CC24D9" w:rsidRDefault="0001755E" w:rsidP="0001755E">
            <w:pPr>
              <w:spacing w:after="0" w:line="240" w:lineRule="auto"/>
              <w:jc w:val="both"/>
              <w:rPr>
                <w:rFonts w:ascii="Verdana" w:eastAsia="Times New Roman" w:hAnsi="Verdana" w:cs="Arial"/>
                <w:iCs/>
                <w:sz w:val="20"/>
                <w:szCs w:val="20"/>
              </w:rPr>
            </w:pPr>
          </w:p>
          <w:p w:rsidR="0001755E" w:rsidRDefault="00255012" w:rsidP="00255012">
            <w:pPr>
              <w:spacing w:after="0" w:line="240" w:lineRule="auto"/>
              <w:jc w:val="both"/>
              <w:rPr>
                <w:rFonts w:ascii="Verdana" w:eastAsia="Times New Roman" w:hAnsi="Verdana" w:cs="Arial"/>
                <w:iCs/>
                <w:sz w:val="20"/>
                <w:szCs w:val="20"/>
                <w:lang w:val="es-MX"/>
              </w:rPr>
            </w:pPr>
            <w:r w:rsidRPr="00CC24D9">
              <w:rPr>
                <w:rFonts w:ascii="Verdana" w:eastAsia="Times New Roman" w:hAnsi="Verdana" w:cs="Arial"/>
                <w:iCs/>
                <w:sz w:val="20"/>
                <w:szCs w:val="20"/>
              </w:rPr>
              <w:t xml:space="preserve">Por ende, </w:t>
            </w:r>
            <w:r w:rsidRPr="00CC24D9">
              <w:rPr>
                <w:rFonts w:ascii="Verdana" w:eastAsia="Times New Roman" w:hAnsi="Verdana" w:cs="Arial"/>
                <w:iCs/>
                <w:sz w:val="20"/>
                <w:szCs w:val="20"/>
                <w:lang w:val="es-MX"/>
              </w:rPr>
              <w:t xml:space="preserve">respecto de los intereses que se protegen por el artículo 13 de la LFTAIPG, si bien requieren de una argumentación más específica para generar la clasificación de la información solicitada, es debido a que los supuestos de reserva protegen determinados bienes jurídicos, a través de una concatenación de elementos objetivos, derivados de las circunstancias de modo, tiempo y lugar del </w:t>
            </w:r>
            <w:r w:rsidRPr="00CC24D9">
              <w:rPr>
                <w:rFonts w:ascii="Verdana" w:eastAsia="Times New Roman" w:hAnsi="Verdana" w:cs="Arial"/>
                <w:b/>
                <w:iCs/>
                <w:sz w:val="20"/>
                <w:szCs w:val="20"/>
                <w:lang w:val="es-MX"/>
              </w:rPr>
              <w:t>caso concreto</w:t>
            </w:r>
            <w:r w:rsidRPr="00CC24D9">
              <w:rPr>
                <w:rFonts w:ascii="Verdana" w:eastAsia="Times New Roman" w:hAnsi="Verdana" w:cs="Arial"/>
                <w:iCs/>
                <w:sz w:val="20"/>
                <w:szCs w:val="20"/>
                <w:lang w:val="es-MX"/>
              </w:rPr>
              <w:t>, a fin de demostrar una posible afectación con la divulgación de la información, en el momento en el que se clasifica la información.</w:t>
            </w:r>
          </w:p>
          <w:p w:rsidR="00CC24D9" w:rsidRDefault="00CC24D9" w:rsidP="00255012">
            <w:pPr>
              <w:spacing w:after="0" w:line="240" w:lineRule="auto"/>
              <w:jc w:val="both"/>
              <w:rPr>
                <w:rFonts w:ascii="Verdana" w:eastAsia="Times New Roman" w:hAnsi="Verdana" w:cs="Arial"/>
                <w:iCs/>
                <w:sz w:val="20"/>
                <w:szCs w:val="20"/>
                <w:lang w:val="es-MX"/>
              </w:rPr>
            </w:pPr>
          </w:p>
          <w:p w:rsidR="00CC24D9" w:rsidRDefault="00770C64" w:rsidP="00CC24D9">
            <w:pPr>
              <w:spacing w:after="0" w:line="240" w:lineRule="auto"/>
              <w:jc w:val="both"/>
              <w:rPr>
                <w:rFonts w:ascii="Verdana" w:eastAsia="Times New Roman" w:hAnsi="Verdana" w:cs="Arial"/>
                <w:iCs/>
                <w:sz w:val="20"/>
                <w:szCs w:val="20"/>
                <w:lang w:val="es-MX"/>
              </w:rPr>
            </w:pPr>
            <w:r>
              <w:rPr>
                <w:rFonts w:ascii="Verdana" w:eastAsia="Times New Roman" w:hAnsi="Verdana" w:cs="Arial"/>
                <w:iCs/>
                <w:sz w:val="20"/>
                <w:szCs w:val="20"/>
                <w:lang w:val="es-MX"/>
              </w:rPr>
              <w:t>En el caso Mexicano</w:t>
            </w:r>
            <w:r w:rsidR="00CC24D9">
              <w:rPr>
                <w:rFonts w:ascii="Verdana" w:eastAsia="Times New Roman" w:hAnsi="Verdana" w:cs="Arial"/>
                <w:iCs/>
                <w:sz w:val="20"/>
                <w:szCs w:val="20"/>
                <w:lang w:val="es-MX"/>
              </w:rPr>
              <w:t xml:space="preserve">, </w:t>
            </w:r>
            <w:r w:rsidR="00CC24D9" w:rsidRPr="00CC24D9">
              <w:rPr>
                <w:rFonts w:ascii="Verdana" w:eastAsia="Times New Roman" w:hAnsi="Verdana" w:cs="Arial"/>
                <w:iCs/>
                <w:sz w:val="20"/>
                <w:szCs w:val="20"/>
                <w:lang w:val="es-MX"/>
              </w:rPr>
              <w:t xml:space="preserve">la clasificación de información se puede realizar en dos momentos, cuando </w:t>
            </w:r>
            <w:r w:rsidR="00CC24D9" w:rsidRPr="00CC24D9">
              <w:rPr>
                <w:rFonts w:ascii="Verdana" w:eastAsia="Times New Roman" w:hAnsi="Verdana" w:cs="Arial"/>
                <w:b/>
                <w:iCs/>
                <w:sz w:val="20"/>
                <w:szCs w:val="20"/>
                <w:lang w:val="es-MX"/>
              </w:rPr>
              <w:t>a)</w:t>
            </w:r>
            <w:r w:rsidR="00CC24D9" w:rsidRPr="00CC24D9">
              <w:rPr>
                <w:rFonts w:ascii="Verdana" w:eastAsia="Times New Roman" w:hAnsi="Verdana" w:cs="Arial"/>
                <w:iCs/>
                <w:sz w:val="20"/>
                <w:szCs w:val="20"/>
                <w:lang w:val="es-MX"/>
              </w:rPr>
              <w:t xml:space="preserve"> se genera la información y </w:t>
            </w:r>
            <w:r w:rsidR="00CC24D9" w:rsidRPr="00CC24D9">
              <w:rPr>
                <w:rFonts w:ascii="Verdana" w:eastAsia="Times New Roman" w:hAnsi="Verdana" w:cs="Arial"/>
                <w:b/>
                <w:iCs/>
                <w:sz w:val="20"/>
                <w:szCs w:val="20"/>
                <w:lang w:val="es-MX"/>
              </w:rPr>
              <w:t>b)</w:t>
            </w:r>
            <w:r w:rsidR="00CC24D9" w:rsidRPr="00CC24D9">
              <w:rPr>
                <w:rFonts w:ascii="Verdana" w:eastAsia="Times New Roman" w:hAnsi="Verdana" w:cs="Arial"/>
                <w:iCs/>
                <w:sz w:val="20"/>
                <w:szCs w:val="20"/>
                <w:lang w:val="es-MX"/>
              </w:rPr>
              <w:t xml:space="preserve"> cuando el sujeto obligado recibe una solicitud de información. En ambos casos, el sujeto obligado </w:t>
            </w:r>
            <w:r w:rsidR="00CC24D9">
              <w:rPr>
                <w:rFonts w:ascii="Verdana" w:eastAsia="Times New Roman" w:hAnsi="Verdana" w:cs="Arial"/>
                <w:iCs/>
                <w:sz w:val="20"/>
                <w:szCs w:val="20"/>
                <w:lang w:val="es-MX"/>
              </w:rPr>
              <w:t>debe realizar</w:t>
            </w:r>
            <w:r w:rsidR="00CC24D9" w:rsidRPr="00CC24D9">
              <w:rPr>
                <w:rFonts w:ascii="Verdana" w:eastAsia="Times New Roman" w:hAnsi="Verdana" w:cs="Arial"/>
                <w:iCs/>
                <w:sz w:val="20"/>
                <w:szCs w:val="20"/>
                <w:lang w:val="es-MX"/>
              </w:rPr>
              <w:t xml:space="preserve"> un documento que sustente dicha clasificación, ya sea una resolución emitida por alguna unidad administrativa o un acta emitida por su Comité de Información</w:t>
            </w:r>
            <w:r>
              <w:rPr>
                <w:rFonts w:ascii="Verdana" w:eastAsia="Times New Roman" w:hAnsi="Verdana" w:cs="Arial"/>
                <w:iCs/>
                <w:sz w:val="20"/>
                <w:szCs w:val="20"/>
                <w:lang w:val="es-MX"/>
              </w:rPr>
              <w:t>.</w:t>
            </w:r>
          </w:p>
          <w:p w:rsidR="00770C64" w:rsidRPr="00CC24D9" w:rsidRDefault="00770C64" w:rsidP="00CC24D9">
            <w:pPr>
              <w:spacing w:after="0" w:line="240" w:lineRule="auto"/>
              <w:jc w:val="both"/>
              <w:rPr>
                <w:rFonts w:ascii="Verdana" w:eastAsia="Times New Roman" w:hAnsi="Verdana" w:cs="Arial"/>
                <w:iCs/>
                <w:sz w:val="20"/>
                <w:szCs w:val="20"/>
                <w:lang w:val="es-MX"/>
              </w:rPr>
            </w:pPr>
          </w:p>
          <w:p w:rsidR="00CC24D9" w:rsidRDefault="00CC24D9" w:rsidP="00080FED">
            <w:pPr>
              <w:spacing w:after="0" w:line="240" w:lineRule="auto"/>
              <w:jc w:val="both"/>
              <w:rPr>
                <w:rFonts w:ascii="Verdana" w:eastAsia="Times New Roman" w:hAnsi="Verdana" w:cs="Arial"/>
                <w:iCs/>
                <w:sz w:val="20"/>
                <w:szCs w:val="20"/>
                <w:lang w:val="es-MX"/>
              </w:rPr>
            </w:pPr>
            <w:r w:rsidRPr="00CC24D9">
              <w:rPr>
                <w:rFonts w:ascii="Verdana" w:eastAsia="Times New Roman" w:hAnsi="Verdana" w:cs="Arial"/>
                <w:iCs/>
                <w:sz w:val="20"/>
                <w:szCs w:val="20"/>
                <w:lang w:val="es-MX"/>
              </w:rPr>
              <w:t xml:space="preserve">Bajo esta tesitura, </w:t>
            </w:r>
            <w:r w:rsidR="00994D7E">
              <w:rPr>
                <w:rFonts w:ascii="Verdana" w:eastAsia="Times New Roman" w:hAnsi="Verdana" w:cs="Arial"/>
                <w:iCs/>
                <w:sz w:val="20"/>
                <w:szCs w:val="20"/>
                <w:lang w:val="es-MX"/>
              </w:rPr>
              <w:t>un</w:t>
            </w:r>
            <w:r w:rsidRPr="00CC24D9">
              <w:rPr>
                <w:rFonts w:ascii="Verdana" w:eastAsia="Times New Roman" w:hAnsi="Verdana" w:cs="Arial"/>
                <w:iCs/>
                <w:sz w:val="20"/>
                <w:szCs w:val="20"/>
                <w:lang w:val="es-MX"/>
              </w:rPr>
              <w:t xml:space="preserve"> Sistema de Expedientes Reservados</w:t>
            </w:r>
            <w:r w:rsidR="00770C64">
              <w:rPr>
                <w:rFonts w:ascii="Verdana" w:eastAsia="Times New Roman" w:hAnsi="Verdana" w:cs="Arial"/>
                <w:iCs/>
                <w:sz w:val="20"/>
                <w:szCs w:val="20"/>
                <w:lang w:val="es-MX"/>
              </w:rPr>
              <w:t>, como el que es administrado por el Instituto Federal de Acceso a la Información y Protección de Datos,</w:t>
            </w:r>
            <w:r>
              <w:rPr>
                <w:rFonts w:ascii="Verdana" w:eastAsia="Times New Roman" w:hAnsi="Verdana" w:cs="Arial"/>
                <w:iCs/>
                <w:sz w:val="20"/>
                <w:szCs w:val="20"/>
                <w:lang w:val="es-MX"/>
              </w:rPr>
              <w:t xml:space="preserve"> es un ejemplo de </w:t>
            </w:r>
            <w:r w:rsidRPr="00CC24D9">
              <w:rPr>
                <w:rFonts w:ascii="Verdana" w:eastAsia="Times New Roman" w:hAnsi="Verdana" w:cs="Arial"/>
                <w:iCs/>
                <w:sz w:val="20"/>
                <w:szCs w:val="20"/>
              </w:rPr>
              <w:t xml:space="preserve">un ejercicio </w:t>
            </w:r>
            <w:r w:rsidRPr="00CC24D9">
              <w:rPr>
                <w:rFonts w:ascii="Verdana" w:eastAsia="Times New Roman" w:hAnsi="Verdana" w:cs="Arial"/>
                <w:i/>
                <w:iCs/>
                <w:sz w:val="20"/>
                <w:szCs w:val="20"/>
              </w:rPr>
              <w:t>a priori</w:t>
            </w:r>
            <w:r w:rsidR="00A51ACE">
              <w:rPr>
                <w:rFonts w:ascii="Verdana" w:eastAsia="Times New Roman" w:hAnsi="Verdana" w:cs="Arial"/>
                <w:iCs/>
                <w:sz w:val="20"/>
                <w:szCs w:val="20"/>
              </w:rPr>
              <w:t xml:space="preserve"> de la clasificación</w:t>
            </w:r>
            <w:r w:rsidRPr="00CC24D9">
              <w:rPr>
                <w:rFonts w:ascii="Verdana" w:eastAsia="Times New Roman" w:hAnsi="Verdana" w:cs="Arial"/>
                <w:iCs/>
                <w:sz w:val="20"/>
                <w:szCs w:val="20"/>
              </w:rPr>
              <w:t xml:space="preserve"> y los alcances de la misma; es decir, si debe existir una leyenda de clasificación en el expediente que dé cuenta de su carácter reservado y los alcances de la motivación y justificación que contenga</w:t>
            </w:r>
            <w:r w:rsidR="00994D7E">
              <w:rPr>
                <w:rFonts w:ascii="Verdana" w:eastAsia="Times New Roman" w:hAnsi="Verdana" w:cs="Arial"/>
                <w:iCs/>
                <w:sz w:val="20"/>
                <w:szCs w:val="20"/>
              </w:rPr>
              <w:t>, es decir la “prueba de daño”.</w:t>
            </w:r>
            <w:r w:rsidR="00A51ACE">
              <w:rPr>
                <w:rFonts w:ascii="Verdana" w:eastAsia="Times New Roman" w:hAnsi="Verdana" w:cs="Arial"/>
                <w:iCs/>
                <w:sz w:val="20"/>
                <w:szCs w:val="20"/>
              </w:rPr>
              <w:t xml:space="preserve"> Lo anterior</w:t>
            </w:r>
            <w:r w:rsidR="00080FED">
              <w:rPr>
                <w:rFonts w:ascii="Verdana" w:eastAsia="Times New Roman" w:hAnsi="Verdana" w:cs="Arial"/>
                <w:iCs/>
                <w:sz w:val="20"/>
                <w:szCs w:val="20"/>
              </w:rPr>
              <w:t>,</w:t>
            </w:r>
            <w:r w:rsidR="00A51ACE">
              <w:rPr>
                <w:rFonts w:ascii="Verdana" w:eastAsia="Times New Roman" w:hAnsi="Verdana" w:cs="Arial"/>
                <w:iCs/>
                <w:sz w:val="20"/>
                <w:szCs w:val="20"/>
              </w:rPr>
              <w:t xml:space="preserve"> debido a que </w:t>
            </w:r>
            <w:r w:rsidRPr="00CC24D9">
              <w:rPr>
                <w:rFonts w:ascii="Verdana" w:eastAsia="Times New Roman" w:hAnsi="Verdana" w:cs="Arial"/>
                <w:iCs/>
                <w:sz w:val="20"/>
                <w:szCs w:val="20"/>
              </w:rPr>
              <w:t xml:space="preserve">la prueba es </w:t>
            </w:r>
            <w:proofErr w:type="gramStart"/>
            <w:r w:rsidRPr="00CC24D9">
              <w:rPr>
                <w:rFonts w:ascii="Verdana" w:eastAsia="Times New Roman" w:hAnsi="Verdana" w:cs="Arial"/>
                <w:iCs/>
                <w:sz w:val="20"/>
                <w:szCs w:val="20"/>
              </w:rPr>
              <w:t>necesaria</w:t>
            </w:r>
            <w:proofErr w:type="gramEnd"/>
            <w:r w:rsidRPr="00CC24D9">
              <w:rPr>
                <w:rFonts w:ascii="Verdana" w:eastAsia="Times New Roman" w:hAnsi="Verdana" w:cs="Arial"/>
                <w:iCs/>
                <w:sz w:val="20"/>
                <w:szCs w:val="20"/>
              </w:rPr>
              <w:t xml:space="preserve"> para catalogar un documento y establecer las reglas de seguridad y resguardo sobre su mane</w:t>
            </w:r>
            <w:r w:rsidR="00A51ACE">
              <w:rPr>
                <w:rFonts w:ascii="Verdana" w:eastAsia="Times New Roman" w:hAnsi="Verdana" w:cs="Arial"/>
                <w:iCs/>
                <w:sz w:val="20"/>
                <w:szCs w:val="20"/>
              </w:rPr>
              <w:t>jo</w:t>
            </w:r>
            <w:r w:rsidR="00080FED">
              <w:rPr>
                <w:rFonts w:ascii="Verdana" w:eastAsia="Times New Roman" w:hAnsi="Verdana" w:cs="Arial"/>
                <w:iCs/>
                <w:sz w:val="20"/>
                <w:szCs w:val="20"/>
              </w:rPr>
              <w:t>, partiendo del</w:t>
            </w:r>
            <w:r w:rsidRPr="00CC24D9">
              <w:rPr>
                <w:rFonts w:ascii="Verdana" w:eastAsia="Times New Roman" w:hAnsi="Verdana" w:cs="Arial"/>
                <w:iCs/>
                <w:sz w:val="20"/>
                <w:szCs w:val="20"/>
                <w:lang w:val="es-MX"/>
              </w:rPr>
              <w:t xml:space="preserve"> análisis de daño que pueda causar la difusión de </w:t>
            </w:r>
            <w:r w:rsidR="00080FED">
              <w:rPr>
                <w:rFonts w:ascii="Verdana" w:eastAsia="Times New Roman" w:hAnsi="Verdana" w:cs="Arial"/>
                <w:iCs/>
                <w:sz w:val="20"/>
                <w:szCs w:val="20"/>
                <w:lang w:val="es-MX"/>
              </w:rPr>
              <w:t>esa</w:t>
            </w:r>
            <w:r w:rsidRPr="00CC24D9">
              <w:rPr>
                <w:rFonts w:ascii="Verdana" w:eastAsia="Times New Roman" w:hAnsi="Verdana" w:cs="Arial"/>
                <w:iCs/>
                <w:sz w:val="20"/>
                <w:szCs w:val="20"/>
                <w:lang w:val="es-MX"/>
              </w:rPr>
              <w:t xml:space="preserve"> información</w:t>
            </w:r>
            <w:r w:rsidR="00080FED">
              <w:rPr>
                <w:rFonts w:ascii="Verdana" w:eastAsia="Times New Roman" w:hAnsi="Verdana" w:cs="Arial"/>
                <w:iCs/>
                <w:sz w:val="20"/>
                <w:szCs w:val="20"/>
                <w:lang w:val="es-MX"/>
              </w:rPr>
              <w:t>, desde su creación.</w:t>
            </w:r>
          </w:p>
          <w:p w:rsidR="001D5D79" w:rsidRDefault="001D5D79" w:rsidP="00080FED">
            <w:pPr>
              <w:spacing w:after="0" w:line="240" w:lineRule="auto"/>
              <w:jc w:val="both"/>
              <w:rPr>
                <w:rFonts w:ascii="Verdana" w:eastAsia="Times New Roman" w:hAnsi="Verdana" w:cs="Arial"/>
                <w:iCs/>
                <w:sz w:val="20"/>
                <w:szCs w:val="20"/>
                <w:lang w:val="es-MX"/>
              </w:rPr>
            </w:pPr>
          </w:p>
          <w:p w:rsidR="001D5D79" w:rsidRDefault="001D5D79" w:rsidP="001D5D79">
            <w:pPr>
              <w:spacing w:after="0" w:line="240" w:lineRule="auto"/>
              <w:jc w:val="both"/>
              <w:rPr>
                <w:rFonts w:ascii="Verdana" w:eastAsia="Times New Roman" w:hAnsi="Verdana" w:cs="Arial"/>
                <w:iCs/>
                <w:sz w:val="20"/>
                <w:szCs w:val="20"/>
                <w:lang w:val="es-MX"/>
              </w:rPr>
            </w:pPr>
            <w:r>
              <w:rPr>
                <w:rFonts w:ascii="Verdana" w:eastAsia="Times New Roman" w:hAnsi="Verdana" w:cs="Arial"/>
                <w:iCs/>
                <w:sz w:val="20"/>
                <w:szCs w:val="20"/>
                <w:lang w:val="es-MX"/>
              </w:rPr>
              <w:t xml:space="preserve">Asimismo, es necesario precisar que México comparte lo señalado por la Corte Interamericana de Derechos Humanos, </w:t>
            </w:r>
            <w:r w:rsidRPr="001D5D79">
              <w:rPr>
                <w:rFonts w:ascii="Verdana" w:eastAsia="Times New Roman" w:hAnsi="Verdana" w:cs="Arial"/>
                <w:iCs/>
                <w:sz w:val="20"/>
                <w:szCs w:val="20"/>
                <w:lang w:val="es-MX"/>
              </w:rPr>
              <w:t xml:space="preserve">en el caso </w:t>
            </w:r>
            <w:r w:rsidRPr="001D5D79">
              <w:rPr>
                <w:rFonts w:ascii="Verdana" w:eastAsia="Times New Roman" w:hAnsi="Verdana" w:cs="Arial"/>
                <w:i/>
                <w:iCs/>
                <w:sz w:val="20"/>
                <w:szCs w:val="20"/>
                <w:lang w:val="es-MX"/>
              </w:rPr>
              <w:t>Claude Reyes y otros</w:t>
            </w:r>
            <w:r>
              <w:rPr>
                <w:rFonts w:ascii="Verdana" w:eastAsia="Times New Roman" w:hAnsi="Verdana" w:cs="Arial"/>
                <w:iCs/>
                <w:sz w:val="20"/>
                <w:szCs w:val="20"/>
                <w:lang w:val="es-MX"/>
              </w:rPr>
              <w:t xml:space="preserve">, respecto a que es posibles </w:t>
            </w:r>
            <w:r w:rsidRPr="001D5D79">
              <w:rPr>
                <w:rFonts w:ascii="Verdana" w:eastAsia="Times New Roman" w:hAnsi="Verdana" w:cs="Arial"/>
                <w:iCs/>
                <w:sz w:val="20"/>
                <w:szCs w:val="20"/>
                <w:lang w:val="es-MX"/>
              </w:rPr>
              <w:t>establece</w:t>
            </w:r>
            <w:r>
              <w:rPr>
                <w:rFonts w:ascii="Verdana" w:eastAsia="Times New Roman" w:hAnsi="Verdana" w:cs="Arial"/>
                <w:iCs/>
                <w:sz w:val="20"/>
                <w:szCs w:val="20"/>
                <w:lang w:val="es-MX"/>
              </w:rPr>
              <w:t>s</w:t>
            </w:r>
            <w:r w:rsidRPr="001D5D79">
              <w:rPr>
                <w:rFonts w:ascii="Verdana" w:eastAsia="Times New Roman" w:hAnsi="Verdana" w:cs="Arial"/>
                <w:iCs/>
                <w:sz w:val="20"/>
                <w:szCs w:val="20"/>
                <w:lang w:val="es-MX"/>
              </w:rPr>
              <w:t xml:space="preserve">  restricciones al derecho de acceso a la información en poder del Estado, </w:t>
            </w:r>
            <w:r>
              <w:rPr>
                <w:rFonts w:ascii="Verdana" w:eastAsia="Times New Roman" w:hAnsi="Verdana" w:cs="Arial"/>
                <w:iCs/>
                <w:sz w:val="20"/>
                <w:szCs w:val="20"/>
                <w:lang w:val="es-MX"/>
              </w:rPr>
              <w:t>siempre y cuando</w:t>
            </w:r>
            <w:r w:rsidRPr="001D5D79">
              <w:rPr>
                <w:rFonts w:ascii="Verdana" w:eastAsia="Times New Roman" w:hAnsi="Verdana" w:cs="Arial"/>
                <w:iCs/>
                <w:sz w:val="20"/>
                <w:szCs w:val="20"/>
                <w:lang w:val="es-MX"/>
              </w:rPr>
              <w:t xml:space="preserve"> pueda demostrar que la información</w:t>
            </w:r>
            <w:r>
              <w:rPr>
                <w:rFonts w:ascii="Verdana" w:eastAsia="Times New Roman" w:hAnsi="Verdana" w:cs="Arial"/>
                <w:iCs/>
                <w:sz w:val="20"/>
                <w:szCs w:val="20"/>
                <w:lang w:val="es-MX"/>
              </w:rPr>
              <w:t xml:space="preserve"> </w:t>
            </w:r>
            <w:r w:rsidRPr="001D5D79">
              <w:rPr>
                <w:rFonts w:ascii="Verdana" w:eastAsia="Times New Roman" w:hAnsi="Verdana" w:cs="Arial"/>
                <w:iCs/>
                <w:sz w:val="20"/>
                <w:szCs w:val="20"/>
                <w:lang w:val="es-MX"/>
              </w:rPr>
              <w:t>solicitada cae dentro del régimen de excepciones permitidos por la Convención</w:t>
            </w:r>
            <w:r>
              <w:rPr>
                <w:rFonts w:ascii="Verdana" w:eastAsia="Times New Roman" w:hAnsi="Verdana" w:cs="Arial"/>
                <w:iCs/>
                <w:sz w:val="20"/>
                <w:szCs w:val="20"/>
                <w:lang w:val="es-MX"/>
              </w:rPr>
              <w:t xml:space="preserve"> Americana sobre Derechos Humanos. </w:t>
            </w:r>
          </w:p>
          <w:p w:rsidR="001D5D79" w:rsidRDefault="001D5D79" w:rsidP="001D5D79">
            <w:pPr>
              <w:spacing w:after="0" w:line="240" w:lineRule="auto"/>
              <w:jc w:val="both"/>
              <w:rPr>
                <w:rFonts w:ascii="Verdana" w:eastAsia="Times New Roman" w:hAnsi="Verdana" w:cs="Arial"/>
                <w:iCs/>
                <w:sz w:val="20"/>
                <w:szCs w:val="20"/>
                <w:lang w:val="es-MX"/>
              </w:rPr>
            </w:pPr>
          </w:p>
          <w:p w:rsidR="00696525" w:rsidRPr="001D5D79" w:rsidRDefault="001D5D79" w:rsidP="007C6560">
            <w:pPr>
              <w:spacing w:after="0" w:line="240" w:lineRule="auto"/>
              <w:jc w:val="both"/>
              <w:rPr>
                <w:rFonts w:ascii="Verdana" w:eastAsia="Times New Roman" w:hAnsi="Verdana" w:cs="Arial"/>
                <w:iCs/>
                <w:sz w:val="20"/>
                <w:szCs w:val="20"/>
                <w:lang w:val="es-MX"/>
              </w:rPr>
            </w:pPr>
            <w:r>
              <w:rPr>
                <w:rFonts w:ascii="Verdana" w:eastAsia="Times New Roman" w:hAnsi="Verdana" w:cs="Arial"/>
                <w:iCs/>
                <w:sz w:val="20"/>
                <w:szCs w:val="20"/>
                <w:lang w:val="es-MX"/>
              </w:rPr>
              <w:t xml:space="preserve">En ese sentido la limitación excepcional debe: 1) estar establecida por Ley,  2) </w:t>
            </w:r>
            <w:r w:rsidRPr="001D5D79">
              <w:rPr>
                <w:rFonts w:ascii="Verdana" w:eastAsia="Times New Roman" w:hAnsi="Verdana" w:cs="Arial"/>
                <w:iCs/>
                <w:sz w:val="20"/>
                <w:szCs w:val="20"/>
                <w:lang w:val="es-MX"/>
              </w:rPr>
              <w:t xml:space="preserve">debe ser susceptible de generar </w:t>
            </w:r>
            <w:r w:rsidR="00696525">
              <w:rPr>
                <w:rFonts w:ascii="Verdana" w:eastAsia="Times New Roman" w:hAnsi="Verdana" w:cs="Arial"/>
                <w:iCs/>
                <w:sz w:val="20"/>
                <w:szCs w:val="20"/>
                <w:lang w:val="es-MX"/>
              </w:rPr>
              <w:t xml:space="preserve">un daño a los bienes jurídicos que se pretende proteger, en caso de que se entregue a los particulares, 3) la negativa debe </w:t>
            </w:r>
            <w:r w:rsidR="00696525" w:rsidRPr="00696525">
              <w:rPr>
                <w:rFonts w:ascii="Verdana" w:eastAsia="Times New Roman" w:hAnsi="Verdana" w:cs="Arial"/>
                <w:iCs/>
                <w:sz w:val="20"/>
                <w:szCs w:val="20"/>
                <w:lang w:val="es-MX"/>
              </w:rPr>
              <w:t>demostrar que la entrega de la información requerida es susceptible</w:t>
            </w:r>
            <w:r w:rsidR="00696525">
              <w:rPr>
                <w:rFonts w:ascii="Verdana" w:eastAsia="Times New Roman" w:hAnsi="Verdana" w:cs="Arial"/>
                <w:iCs/>
                <w:sz w:val="20"/>
                <w:szCs w:val="20"/>
                <w:lang w:val="es-MX"/>
              </w:rPr>
              <w:t xml:space="preserve"> </w:t>
            </w:r>
            <w:r w:rsidR="00696525" w:rsidRPr="00696525">
              <w:rPr>
                <w:rFonts w:ascii="Verdana" w:eastAsia="Times New Roman" w:hAnsi="Verdana" w:cs="Arial"/>
                <w:iCs/>
                <w:sz w:val="20"/>
                <w:szCs w:val="20"/>
                <w:lang w:val="es-MX"/>
              </w:rPr>
              <w:t>de causar un daño sustancial al fin legítimamente protegido</w:t>
            </w:r>
            <w:r w:rsidR="00696525">
              <w:rPr>
                <w:rFonts w:ascii="Verdana" w:eastAsia="Times New Roman" w:hAnsi="Verdana" w:cs="Arial"/>
                <w:iCs/>
                <w:sz w:val="20"/>
                <w:szCs w:val="20"/>
                <w:lang w:val="es-MX"/>
              </w:rPr>
              <w:t xml:space="preserve">, por lo que el </w:t>
            </w:r>
            <w:r w:rsidR="00696525" w:rsidRPr="00696525">
              <w:rPr>
                <w:rFonts w:ascii="Verdana" w:eastAsia="Times New Roman" w:hAnsi="Verdana" w:cs="Arial"/>
                <w:iCs/>
                <w:sz w:val="20"/>
                <w:szCs w:val="20"/>
                <w:lang w:val="es-MX"/>
              </w:rPr>
              <w:t>daño debe ser mayor al interés público en obtener la información</w:t>
            </w:r>
            <w:r w:rsidR="00696525">
              <w:rPr>
                <w:rFonts w:ascii="Verdana" w:eastAsia="Times New Roman" w:hAnsi="Verdana" w:cs="Arial"/>
                <w:iCs/>
                <w:sz w:val="20"/>
                <w:szCs w:val="20"/>
                <w:lang w:val="es-MX"/>
              </w:rPr>
              <w:t xml:space="preserve">, 4) la </w:t>
            </w:r>
            <w:r w:rsidR="00696525" w:rsidRPr="00696525">
              <w:rPr>
                <w:rFonts w:ascii="Verdana" w:eastAsia="Times New Roman" w:hAnsi="Verdana" w:cs="Arial"/>
                <w:iCs/>
                <w:sz w:val="20"/>
                <w:szCs w:val="20"/>
                <w:lang w:val="es-MX"/>
              </w:rPr>
              <w:t>decisión</w:t>
            </w:r>
            <w:r w:rsidR="00696525">
              <w:rPr>
                <w:rFonts w:ascii="Verdana" w:eastAsia="Times New Roman" w:hAnsi="Verdana" w:cs="Arial"/>
                <w:iCs/>
                <w:sz w:val="20"/>
                <w:szCs w:val="20"/>
                <w:lang w:val="es-MX"/>
              </w:rPr>
              <w:t xml:space="preserve"> del Estado debe ser escrita en la que explique</w:t>
            </w:r>
            <w:r w:rsidR="00696525" w:rsidRPr="00696525">
              <w:rPr>
                <w:rFonts w:ascii="Verdana" w:eastAsia="Times New Roman" w:hAnsi="Verdana" w:cs="Arial"/>
                <w:iCs/>
                <w:sz w:val="20"/>
                <w:szCs w:val="20"/>
                <w:lang w:val="es-MX"/>
              </w:rPr>
              <w:t xml:space="preserve"> las </w:t>
            </w:r>
            <w:r w:rsidR="00696525" w:rsidRPr="00696525">
              <w:rPr>
                <w:rFonts w:ascii="Verdana" w:eastAsia="Times New Roman" w:hAnsi="Verdana" w:cs="Arial"/>
                <w:iCs/>
                <w:sz w:val="20"/>
                <w:szCs w:val="20"/>
                <w:lang w:val="es-MX"/>
              </w:rPr>
              <w:lastRenderedPageBreak/>
              <w:t>razones y los fundamentos legales para limitar el</w:t>
            </w:r>
            <w:r w:rsidR="00696525">
              <w:rPr>
                <w:rFonts w:ascii="Verdana" w:eastAsia="Times New Roman" w:hAnsi="Verdana" w:cs="Arial"/>
                <w:iCs/>
                <w:sz w:val="20"/>
                <w:szCs w:val="20"/>
                <w:lang w:val="es-MX"/>
              </w:rPr>
              <w:t xml:space="preserve"> </w:t>
            </w:r>
            <w:r w:rsidR="00696525" w:rsidRPr="00696525">
              <w:rPr>
                <w:rFonts w:ascii="Verdana" w:eastAsia="Times New Roman" w:hAnsi="Verdana" w:cs="Arial"/>
                <w:iCs/>
                <w:sz w:val="20"/>
                <w:szCs w:val="20"/>
                <w:lang w:val="es-MX"/>
              </w:rPr>
              <w:t>derecho de acceder a la información</w:t>
            </w:r>
            <w:r w:rsidR="00696525">
              <w:rPr>
                <w:rFonts w:ascii="Verdana" w:eastAsia="Times New Roman" w:hAnsi="Verdana" w:cs="Arial"/>
                <w:iCs/>
                <w:sz w:val="20"/>
                <w:szCs w:val="20"/>
                <w:lang w:val="es-MX"/>
              </w:rPr>
              <w:t xml:space="preserve">, y un último punto, que si bien no se abarcó en el caso anteriormente citado, la Relatoría Especial para la Libertad de Expresión consideró </w:t>
            </w:r>
            <w:r w:rsidR="007C6560">
              <w:rPr>
                <w:rFonts w:ascii="Verdana" w:eastAsia="Times New Roman" w:hAnsi="Verdana" w:cs="Arial"/>
                <w:iCs/>
                <w:sz w:val="20"/>
                <w:szCs w:val="20"/>
                <w:lang w:val="es-MX"/>
              </w:rPr>
              <w:t xml:space="preserve">como punto </w:t>
            </w:r>
            <w:r w:rsidR="00696525">
              <w:rPr>
                <w:rFonts w:ascii="Verdana" w:eastAsia="Times New Roman" w:hAnsi="Verdana" w:cs="Arial"/>
                <w:iCs/>
                <w:sz w:val="20"/>
                <w:szCs w:val="20"/>
                <w:lang w:val="es-MX"/>
              </w:rPr>
              <w:t xml:space="preserve">5) </w:t>
            </w:r>
            <w:r w:rsidR="007C6560">
              <w:rPr>
                <w:rFonts w:ascii="Verdana" w:eastAsia="Times New Roman" w:hAnsi="Verdana" w:cs="Arial"/>
                <w:iCs/>
                <w:sz w:val="20"/>
                <w:szCs w:val="20"/>
                <w:lang w:val="es-MX"/>
              </w:rPr>
              <w:t xml:space="preserve">que la restricción </w:t>
            </w:r>
            <w:r w:rsidR="007C6560" w:rsidRPr="007C6560">
              <w:rPr>
                <w:rFonts w:ascii="Verdana" w:eastAsia="Times New Roman" w:hAnsi="Verdana" w:cs="Arial"/>
                <w:iCs/>
                <w:sz w:val="20"/>
                <w:szCs w:val="20"/>
              </w:rPr>
              <w:t>debe establecer un límite temporal o condicionado a la desaparición de su causal</w:t>
            </w:r>
            <w:r w:rsidR="007C6560">
              <w:rPr>
                <w:rStyle w:val="Refdenotaalpie"/>
                <w:rFonts w:ascii="Verdana" w:eastAsia="Times New Roman" w:hAnsi="Verdana" w:cs="Arial"/>
                <w:iCs/>
                <w:sz w:val="20"/>
                <w:szCs w:val="20"/>
              </w:rPr>
              <w:footnoteReference w:id="1"/>
            </w:r>
            <w:r w:rsidR="007C6560">
              <w:rPr>
                <w:rFonts w:ascii="Verdana" w:eastAsia="Times New Roman" w:hAnsi="Verdana" w:cs="Arial"/>
                <w:iCs/>
                <w:sz w:val="20"/>
                <w:szCs w:val="20"/>
              </w:rPr>
              <w:t>.</w:t>
            </w:r>
          </w:p>
        </w:tc>
      </w:tr>
      <w:tr w:rsidR="00522F6E" w:rsidRPr="00AC7955" w:rsidTr="00882082">
        <w:tc>
          <w:tcPr>
            <w:tcW w:w="2093" w:type="dxa"/>
            <w:shd w:val="clear" w:color="auto" w:fill="auto"/>
          </w:tcPr>
          <w:p w:rsidR="0033112F" w:rsidRPr="00AC7955" w:rsidRDefault="0033112F" w:rsidP="0033112F">
            <w:pPr>
              <w:spacing w:after="0" w:line="240" w:lineRule="auto"/>
              <w:jc w:val="center"/>
              <w:rPr>
                <w:rFonts w:ascii="Verdana" w:eastAsia="Calibri" w:hAnsi="Verdana" w:cs="Times New Roman"/>
                <w:b/>
                <w:sz w:val="18"/>
                <w:szCs w:val="18"/>
                <w:lang w:val="es-MX"/>
              </w:rPr>
            </w:pPr>
            <w:r w:rsidRPr="00AC7955">
              <w:rPr>
                <w:rFonts w:ascii="Verdana" w:eastAsia="Calibri" w:hAnsi="Verdana" w:cs="Times New Roman"/>
                <w:b/>
                <w:sz w:val="18"/>
                <w:szCs w:val="18"/>
                <w:lang w:val="es-MX"/>
              </w:rPr>
              <w:lastRenderedPageBreak/>
              <w:t xml:space="preserve">Áreas de oportunidad </w:t>
            </w:r>
          </w:p>
          <w:p w:rsidR="00522F6E" w:rsidRPr="00AC7955" w:rsidRDefault="00882082" w:rsidP="0033112F">
            <w:pPr>
              <w:spacing w:after="0" w:line="240" w:lineRule="auto"/>
              <w:jc w:val="center"/>
              <w:rPr>
                <w:rFonts w:ascii="Verdana" w:eastAsia="Calibri" w:hAnsi="Verdana" w:cs="Times New Roman"/>
                <w:b/>
                <w:sz w:val="18"/>
                <w:szCs w:val="18"/>
                <w:lang w:val="es-MX"/>
              </w:rPr>
            </w:pPr>
            <w:r w:rsidRPr="00AC7955">
              <w:rPr>
                <w:rFonts w:ascii="Verdana" w:eastAsia="Calibri" w:hAnsi="Verdana" w:cs="Times New Roman"/>
                <w:sz w:val="18"/>
                <w:szCs w:val="18"/>
                <w:lang w:val="es-MX"/>
              </w:rPr>
              <w:t>(</w:t>
            </w:r>
            <w:r w:rsidR="0033112F" w:rsidRPr="00AC7955">
              <w:rPr>
                <w:rFonts w:ascii="Verdana" w:eastAsia="Calibri" w:hAnsi="Verdana" w:cs="Times New Roman"/>
                <w:sz w:val="18"/>
                <w:szCs w:val="18"/>
                <w:lang w:val="es-MX"/>
              </w:rPr>
              <w:t>¿Qué</w:t>
            </w:r>
            <w:r w:rsidRPr="00AC7955">
              <w:rPr>
                <w:rFonts w:ascii="Verdana" w:eastAsia="Calibri" w:hAnsi="Verdana" w:cs="Times New Roman"/>
                <w:sz w:val="18"/>
                <w:szCs w:val="18"/>
                <w:lang w:val="es-MX"/>
              </w:rPr>
              <w:t xml:space="preserve"> hace falta para mejorar el derecho de acceso en el tema a discusión</w:t>
            </w:r>
            <w:r w:rsidR="0033112F" w:rsidRPr="00AC7955">
              <w:rPr>
                <w:rFonts w:ascii="Verdana" w:eastAsia="Calibri" w:hAnsi="Verdana" w:cs="Times New Roman"/>
                <w:sz w:val="18"/>
                <w:szCs w:val="18"/>
                <w:lang w:val="es-MX"/>
              </w:rPr>
              <w:t>? – Nuevos Retos)</w:t>
            </w:r>
          </w:p>
        </w:tc>
        <w:tc>
          <w:tcPr>
            <w:tcW w:w="6885" w:type="dxa"/>
            <w:shd w:val="clear" w:color="auto" w:fill="auto"/>
          </w:tcPr>
          <w:p w:rsidR="00522F6E" w:rsidRDefault="00080FED" w:rsidP="007C2827">
            <w:pPr>
              <w:spacing w:after="0" w:line="240" w:lineRule="auto"/>
              <w:jc w:val="both"/>
              <w:rPr>
                <w:rFonts w:ascii="Verdana" w:eastAsia="Times New Roman" w:hAnsi="Verdana" w:cs="Arial"/>
                <w:iCs/>
                <w:sz w:val="20"/>
              </w:rPr>
            </w:pPr>
            <w:r w:rsidRPr="00080FED">
              <w:rPr>
                <w:rFonts w:ascii="Verdana" w:eastAsia="Times New Roman" w:hAnsi="Verdana" w:cs="Arial"/>
                <w:iCs/>
                <w:sz w:val="20"/>
              </w:rPr>
              <w:t xml:space="preserve">Dado que hasta la fecha en México, no existen criterios formales respecto de la prueba de daño, consideramos que un área de oportunidad para mejorar el derecho de acceso, es la elaboración de criterios </w:t>
            </w:r>
            <w:r>
              <w:rPr>
                <w:rFonts w:ascii="Verdana" w:eastAsia="Times New Roman" w:hAnsi="Verdana" w:cs="Arial"/>
                <w:iCs/>
                <w:sz w:val="20"/>
              </w:rPr>
              <w:t xml:space="preserve">que identifiquen con claridad </w:t>
            </w:r>
            <w:r w:rsidR="007C2827">
              <w:rPr>
                <w:rFonts w:ascii="Verdana" w:eastAsia="Times New Roman" w:hAnsi="Verdana" w:cs="Arial"/>
                <w:iCs/>
                <w:sz w:val="20"/>
              </w:rPr>
              <w:t>los elementos que acrediten plenamente</w:t>
            </w:r>
            <w:r>
              <w:rPr>
                <w:rFonts w:ascii="Verdana" w:eastAsia="Times New Roman" w:hAnsi="Verdana" w:cs="Arial"/>
                <w:iCs/>
                <w:sz w:val="20"/>
              </w:rPr>
              <w:t xml:space="preserve"> </w:t>
            </w:r>
            <w:r w:rsidR="007C2827">
              <w:rPr>
                <w:rFonts w:ascii="Verdana" w:eastAsia="Times New Roman" w:hAnsi="Verdana" w:cs="Arial"/>
                <w:iCs/>
                <w:sz w:val="20"/>
              </w:rPr>
              <w:t xml:space="preserve">las </w:t>
            </w:r>
            <w:r>
              <w:rPr>
                <w:rFonts w:ascii="Verdana" w:eastAsia="Times New Roman" w:hAnsi="Verdana" w:cs="Arial"/>
                <w:iCs/>
                <w:sz w:val="20"/>
              </w:rPr>
              <w:t>excepciones a la publicidad de la información</w:t>
            </w:r>
            <w:r w:rsidR="007C2827">
              <w:rPr>
                <w:rFonts w:ascii="Verdana" w:eastAsia="Times New Roman" w:hAnsi="Verdana" w:cs="Arial"/>
                <w:iCs/>
                <w:sz w:val="20"/>
              </w:rPr>
              <w:t>, cuando es necesaria la “prueba de daño”, así como el momento en el que se debe de desarrollar para dar mayor certeza al solicitante; debido a que a la fecha, existe poca aplicación efectiva de dicha prueba por parte de</w:t>
            </w:r>
            <w:r w:rsidRPr="00080FED">
              <w:rPr>
                <w:rFonts w:ascii="Verdana" w:eastAsia="Times New Roman" w:hAnsi="Verdana" w:cs="Arial"/>
                <w:iCs/>
                <w:sz w:val="20"/>
              </w:rPr>
              <w:t xml:space="preserve"> los</w:t>
            </w:r>
            <w:r w:rsidR="007C2827">
              <w:rPr>
                <w:rFonts w:ascii="Verdana" w:eastAsia="Times New Roman" w:hAnsi="Verdana" w:cs="Arial"/>
                <w:iCs/>
                <w:sz w:val="20"/>
              </w:rPr>
              <w:t xml:space="preserve"> </w:t>
            </w:r>
            <w:r w:rsidRPr="00080FED">
              <w:rPr>
                <w:rFonts w:ascii="Verdana" w:eastAsia="Times New Roman" w:hAnsi="Verdana" w:cs="Arial"/>
                <w:iCs/>
                <w:sz w:val="20"/>
              </w:rPr>
              <w:t>sujetos obligados</w:t>
            </w:r>
            <w:r w:rsidR="007C2827">
              <w:rPr>
                <w:rFonts w:ascii="Verdana" w:eastAsia="Times New Roman" w:hAnsi="Verdana" w:cs="Arial"/>
                <w:iCs/>
                <w:sz w:val="20"/>
              </w:rPr>
              <w:t>.</w:t>
            </w:r>
          </w:p>
          <w:p w:rsidR="007C2827" w:rsidRDefault="007C2827" w:rsidP="007C2827">
            <w:pPr>
              <w:spacing w:after="0" w:line="240" w:lineRule="auto"/>
              <w:jc w:val="both"/>
              <w:rPr>
                <w:rFonts w:ascii="Verdana" w:eastAsia="Times New Roman" w:hAnsi="Verdana" w:cs="Arial"/>
                <w:iCs/>
                <w:sz w:val="20"/>
              </w:rPr>
            </w:pPr>
          </w:p>
          <w:p w:rsidR="007C2827" w:rsidRPr="00080FED" w:rsidRDefault="007C2827" w:rsidP="007C6560">
            <w:pPr>
              <w:spacing w:after="0" w:line="240" w:lineRule="auto"/>
              <w:jc w:val="both"/>
              <w:rPr>
                <w:rFonts w:ascii="Verdana" w:eastAsia="Times New Roman" w:hAnsi="Verdana" w:cs="Arial"/>
                <w:iCs/>
                <w:sz w:val="20"/>
              </w:rPr>
            </w:pPr>
            <w:r>
              <w:rPr>
                <w:rFonts w:ascii="Verdana" w:eastAsia="Times New Roman" w:hAnsi="Verdana" w:cs="Arial"/>
                <w:iCs/>
                <w:sz w:val="20"/>
              </w:rPr>
              <w:t>Con lo anterior, sería posible promover el actuar adecuado de las autoridades en los tres niveles de gobierno, un</w:t>
            </w:r>
            <w:r w:rsidR="0031057B">
              <w:rPr>
                <w:rFonts w:ascii="Verdana" w:eastAsia="Times New Roman" w:hAnsi="Verdana" w:cs="Arial"/>
                <w:iCs/>
                <w:sz w:val="20"/>
              </w:rPr>
              <w:t xml:space="preserve">ificando criterios de reserva, </w:t>
            </w:r>
            <w:r>
              <w:rPr>
                <w:rFonts w:ascii="Verdana" w:eastAsia="Times New Roman" w:hAnsi="Verdana" w:cs="Arial"/>
                <w:iCs/>
                <w:sz w:val="20"/>
              </w:rPr>
              <w:t>argumentación</w:t>
            </w:r>
            <w:r w:rsidR="0031057B">
              <w:rPr>
                <w:rFonts w:ascii="Verdana" w:eastAsia="Times New Roman" w:hAnsi="Verdana" w:cs="Arial"/>
                <w:iCs/>
                <w:sz w:val="20"/>
              </w:rPr>
              <w:t xml:space="preserve"> y </w:t>
            </w:r>
            <w:r w:rsidR="00FA0B4D" w:rsidRPr="00770C64">
              <w:rPr>
                <w:rFonts w:ascii="Verdana" w:eastAsia="Times New Roman" w:hAnsi="Verdana" w:cs="Arial"/>
                <w:iCs/>
                <w:sz w:val="20"/>
              </w:rPr>
              <w:t>el</w:t>
            </w:r>
            <w:r w:rsidR="0031057B">
              <w:rPr>
                <w:rFonts w:ascii="Verdana" w:eastAsia="Times New Roman" w:hAnsi="Verdana" w:cs="Arial"/>
                <w:iCs/>
                <w:sz w:val="20"/>
              </w:rPr>
              <w:t xml:space="preserve"> momento de clasificar la información</w:t>
            </w:r>
            <w:r>
              <w:rPr>
                <w:rFonts w:ascii="Verdana" w:eastAsia="Times New Roman" w:hAnsi="Verdana" w:cs="Arial"/>
                <w:iCs/>
                <w:sz w:val="20"/>
              </w:rPr>
              <w:t xml:space="preserve">. No obstante, cabe señalar que en </w:t>
            </w:r>
            <w:r w:rsidRPr="007C2827">
              <w:rPr>
                <w:rFonts w:ascii="Verdana" w:eastAsia="Times New Roman" w:hAnsi="Verdana" w:cs="Arial"/>
                <w:iCs/>
                <w:sz w:val="20"/>
              </w:rPr>
              <w:t xml:space="preserve">el </w:t>
            </w:r>
            <w:r w:rsidRPr="007C2827">
              <w:rPr>
                <w:rFonts w:ascii="Verdana" w:eastAsia="Times New Roman" w:hAnsi="Verdana" w:cs="Arial"/>
                <w:i/>
                <w:iCs/>
                <w:sz w:val="20"/>
              </w:rPr>
              <w:t>Dictamen de la iniciativa que contiene proyecto de decreto por el que se expide la Ley General de Transparencia y Acceso a la Información Pública</w:t>
            </w:r>
            <w:r w:rsidRPr="007C2827">
              <w:rPr>
                <w:rFonts w:ascii="Verdana" w:eastAsia="Times New Roman" w:hAnsi="Verdana" w:cs="Arial"/>
                <w:iCs/>
                <w:sz w:val="20"/>
              </w:rPr>
              <w:t>, del Senado de México</w:t>
            </w:r>
            <w:r>
              <w:rPr>
                <w:rFonts w:ascii="Verdana" w:eastAsia="Times New Roman" w:hAnsi="Verdana" w:cs="Arial"/>
                <w:iCs/>
                <w:sz w:val="20"/>
              </w:rPr>
              <w:t xml:space="preserve">, se pretende </w:t>
            </w:r>
            <w:r w:rsidR="0031057B">
              <w:rPr>
                <w:rFonts w:ascii="Verdana" w:eastAsia="Times New Roman" w:hAnsi="Verdana" w:cs="Arial"/>
                <w:iCs/>
                <w:sz w:val="20"/>
              </w:rPr>
              <w:t xml:space="preserve">regular la prueba de daño, </w:t>
            </w:r>
            <w:r w:rsidR="007C6560">
              <w:rPr>
                <w:rFonts w:ascii="Verdana" w:eastAsia="Times New Roman" w:hAnsi="Verdana" w:cs="Arial"/>
                <w:iCs/>
                <w:sz w:val="20"/>
              </w:rPr>
              <w:t>lo cual sería fundamental, ya que al ser Ley, su aplicación sería obligatoria para las autoridades y existirían medios de protección para exigir su cumplimiento por parte de los solicitantes.</w:t>
            </w:r>
          </w:p>
        </w:tc>
      </w:tr>
      <w:tr w:rsidR="00522F6E" w:rsidRPr="00AC7955" w:rsidTr="00882082">
        <w:tc>
          <w:tcPr>
            <w:tcW w:w="2093" w:type="dxa"/>
            <w:shd w:val="clear" w:color="auto" w:fill="auto"/>
          </w:tcPr>
          <w:p w:rsidR="00522F6E" w:rsidRPr="00AC7955" w:rsidRDefault="00882082" w:rsidP="00882082">
            <w:pPr>
              <w:spacing w:after="0" w:line="240" w:lineRule="auto"/>
              <w:jc w:val="center"/>
              <w:rPr>
                <w:rFonts w:ascii="Verdana" w:eastAsia="Calibri" w:hAnsi="Verdana" w:cs="Times New Roman"/>
                <w:b/>
                <w:sz w:val="18"/>
                <w:szCs w:val="18"/>
                <w:lang w:val="es-MX"/>
              </w:rPr>
            </w:pPr>
            <w:r w:rsidRPr="00AC7955">
              <w:rPr>
                <w:rFonts w:ascii="Verdana" w:eastAsia="Calibri" w:hAnsi="Verdana" w:cs="Times New Roman"/>
                <w:b/>
                <w:sz w:val="18"/>
                <w:szCs w:val="18"/>
                <w:lang w:val="es-MX"/>
              </w:rPr>
              <w:t>Precedentes o criterios</w:t>
            </w:r>
          </w:p>
          <w:p w:rsidR="00882082" w:rsidRPr="00AC7955" w:rsidRDefault="00882082" w:rsidP="00882082">
            <w:pPr>
              <w:spacing w:after="0" w:line="240" w:lineRule="auto"/>
              <w:jc w:val="center"/>
              <w:rPr>
                <w:rFonts w:ascii="Verdana" w:eastAsia="Calibri" w:hAnsi="Verdana" w:cs="Times New Roman"/>
                <w:sz w:val="18"/>
                <w:szCs w:val="18"/>
                <w:lang w:val="es-MX"/>
              </w:rPr>
            </w:pPr>
            <w:r w:rsidRPr="00AC7955">
              <w:rPr>
                <w:rFonts w:ascii="Verdana" w:eastAsia="Calibri" w:hAnsi="Verdana" w:cs="Times New Roman"/>
                <w:sz w:val="18"/>
                <w:szCs w:val="18"/>
                <w:lang w:val="es-MX"/>
              </w:rPr>
              <w:t>(Cómo se ha resuelto el tema en su país)</w:t>
            </w:r>
          </w:p>
        </w:tc>
        <w:tc>
          <w:tcPr>
            <w:tcW w:w="6885" w:type="dxa"/>
            <w:shd w:val="clear" w:color="auto" w:fill="auto"/>
          </w:tcPr>
          <w:p w:rsidR="00522F6E" w:rsidRDefault="000F44FF" w:rsidP="00522F6E">
            <w:pPr>
              <w:spacing w:after="0" w:line="240" w:lineRule="auto"/>
              <w:jc w:val="both"/>
              <w:rPr>
                <w:rFonts w:ascii="Verdana" w:eastAsia="Times New Roman" w:hAnsi="Verdana" w:cs="Arial"/>
                <w:iCs/>
                <w:sz w:val="20"/>
              </w:rPr>
            </w:pPr>
            <w:r w:rsidRPr="000F44FF">
              <w:rPr>
                <w:rFonts w:ascii="Verdana" w:eastAsia="Times New Roman" w:hAnsi="Verdana" w:cs="Arial"/>
                <w:iCs/>
                <w:sz w:val="20"/>
              </w:rPr>
              <w:t>RDA 4559/14</w:t>
            </w:r>
            <w:r w:rsidR="007C6560">
              <w:rPr>
                <w:rStyle w:val="Refdenotaalpie"/>
                <w:rFonts w:ascii="Verdana" w:eastAsia="Times New Roman" w:hAnsi="Verdana" w:cs="Arial"/>
                <w:iCs/>
                <w:sz w:val="20"/>
              </w:rPr>
              <w:footnoteReference w:id="2"/>
            </w:r>
            <w:r w:rsidRPr="000F44FF">
              <w:rPr>
                <w:rFonts w:ascii="Verdana" w:eastAsia="Times New Roman" w:hAnsi="Verdana" w:cs="Arial"/>
                <w:iCs/>
                <w:sz w:val="20"/>
              </w:rPr>
              <w:t>, RDA 4560/14</w:t>
            </w:r>
            <w:r w:rsidR="007C6560">
              <w:rPr>
                <w:rStyle w:val="Refdenotaalpie"/>
                <w:rFonts w:ascii="Verdana" w:eastAsia="Times New Roman" w:hAnsi="Verdana" w:cs="Arial"/>
                <w:iCs/>
                <w:sz w:val="20"/>
              </w:rPr>
              <w:footnoteReference w:id="3"/>
            </w:r>
            <w:r w:rsidRPr="000F44FF">
              <w:rPr>
                <w:rFonts w:ascii="Verdana" w:eastAsia="Times New Roman" w:hAnsi="Verdana" w:cs="Arial"/>
                <w:iCs/>
                <w:sz w:val="20"/>
              </w:rPr>
              <w:t xml:space="preserve"> del IFAI, en los que se instruyó la entrega de las “pruebas de daño” de expedientes reservados en el Sistema de Índices de Expedientes Reservados</w:t>
            </w:r>
            <w:r>
              <w:rPr>
                <w:rFonts w:ascii="Verdana" w:eastAsia="Times New Roman" w:hAnsi="Verdana" w:cs="Arial"/>
                <w:iCs/>
                <w:sz w:val="20"/>
              </w:rPr>
              <w:t>.</w:t>
            </w:r>
          </w:p>
          <w:p w:rsidR="000F44FF" w:rsidRPr="000F44FF" w:rsidRDefault="000F44FF" w:rsidP="00522F6E">
            <w:pPr>
              <w:spacing w:after="0" w:line="240" w:lineRule="auto"/>
              <w:jc w:val="both"/>
              <w:rPr>
                <w:rFonts w:ascii="Verdana" w:eastAsia="Times New Roman" w:hAnsi="Verdana" w:cs="Arial"/>
                <w:iCs/>
                <w:sz w:val="20"/>
              </w:rPr>
            </w:pPr>
            <w:r>
              <w:rPr>
                <w:rFonts w:ascii="Verdana" w:eastAsia="Times New Roman" w:hAnsi="Verdana" w:cs="Arial"/>
                <w:iCs/>
                <w:sz w:val="20"/>
              </w:rPr>
              <w:t>RDA 2682/14</w:t>
            </w:r>
            <w:r w:rsidR="007C6560">
              <w:rPr>
                <w:rStyle w:val="Refdenotaalpie"/>
                <w:rFonts w:ascii="Verdana" w:eastAsia="Times New Roman" w:hAnsi="Verdana" w:cs="Arial"/>
                <w:iCs/>
                <w:sz w:val="20"/>
              </w:rPr>
              <w:footnoteReference w:id="4"/>
            </w:r>
            <w:r>
              <w:rPr>
                <w:rFonts w:ascii="Verdana" w:eastAsia="Times New Roman" w:hAnsi="Verdana" w:cs="Arial"/>
                <w:iCs/>
                <w:sz w:val="20"/>
              </w:rPr>
              <w:t xml:space="preserve"> del IFAI, en el que se confirmó la reserva de la información, acreditando correctamente la prueba de daño.</w:t>
            </w:r>
          </w:p>
        </w:tc>
      </w:tr>
    </w:tbl>
    <w:p w:rsidR="007C6560" w:rsidRDefault="007C6560" w:rsidP="007C6560">
      <w:pPr>
        <w:pStyle w:val="Prrafodelista"/>
        <w:spacing w:after="0" w:line="240" w:lineRule="auto"/>
        <w:jc w:val="both"/>
        <w:rPr>
          <w:rFonts w:ascii="Verdana" w:hAnsi="Verdana"/>
          <w:b/>
          <w:sz w:val="20"/>
          <w:szCs w:val="20"/>
        </w:rPr>
      </w:pPr>
    </w:p>
    <w:p w:rsidR="007C6560" w:rsidRDefault="007C6560" w:rsidP="007C6560">
      <w:pPr>
        <w:pStyle w:val="Prrafodelista"/>
        <w:spacing w:after="0" w:line="240" w:lineRule="auto"/>
        <w:jc w:val="both"/>
        <w:rPr>
          <w:rFonts w:ascii="Verdana" w:hAnsi="Verdana"/>
          <w:b/>
          <w:sz w:val="20"/>
          <w:szCs w:val="20"/>
        </w:rPr>
      </w:pPr>
    </w:p>
    <w:p w:rsidR="007C6560" w:rsidRDefault="007C6560" w:rsidP="007C6560">
      <w:pPr>
        <w:pStyle w:val="Prrafodelista"/>
        <w:spacing w:after="0" w:line="240" w:lineRule="auto"/>
        <w:jc w:val="both"/>
        <w:rPr>
          <w:rFonts w:ascii="Verdana" w:hAnsi="Verdana"/>
          <w:b/>
          <w:sz w:val="20"/>
          <w:szCs w:val="20"/>
        </w:rPr>
      </w:pPr>
    </w:p>
    <w:p w:rsidR="007C6560" w:rsidRDefault="007C6560" w:rsidP="007C6560">
      <w:pPr>
        <w:pStyle w:val="Prrafodelista"/>
        <w:spacing w:after="0" w:line="240" w:lineRule="auto"/>
        <w:jc w:val="both"/>
        <w:rPr>
          <w:rFonts w:ascii="Verdana" w:hAnsi="Verdana"/>
          <w:b/>
          <w:sz w:val="20"/>
          <w:szCs w:val="20"/>
        </w:rPr>
      </w:pPr>
    </w:p>
    <w:p w:rsidR="007C6560" w:rsidRDefault="007C6560" w:rsidP="007C6560">
      <w:pPr>
        <w:pStyle w:val="Prrafodelista"/>
        <w:spacing w:after="0" w:line="240" w:lineRule="auto"/>
        <w:jc w:val="both"/>
        <w:rPr>
          <w:rFonts w:ascii="Verdana" w:hAnsi="Verdana"/>
          <w:b/>
          <w:sz w:val="20"/>
          <w:szCs w:val="20"/>
        </w:rPr>
      </w:pPr>
    </w:p>
    <w:p w:rsidR="007C6560" w:rsidRDefault="007C6560" w:rsidP="007C6560">
      <w:pPr>
        <w:pStyle w:val="Prrafodelista"/>
        <w:spacing w:after="0" w:line="240" w:lineRule="auto"/>
        <w:jc w:val="both"/>
        <w:rPr>
          <w:rFonts w:ascii="Verdana" w:hAnsi="Verdana"/>
          <w:b/>
          <w:sz w:val="20"/>
          <w:szCs w:val="20"/>
        </w:rPr>
      </w:pPr>
    </w:p>
    <w:p w:rsidR="007C6560" w:rsidRDefault="007C6560" w:rsidP="007C6560">
      <w:pPr>
        <w:pStyle w:val="Prrafodelista"/>
        <w:spacing w:after="0" w:line="240" w:lineRule="auto"/>
        <w:jc w:val="both"/>
        <w:rPr>
          <w:rFonts w:ascii="Verdana" w:hAnsi="Verdana"/>
          <w:b/>
          <w:sz w:val="20"/>
          <w:szCs w:val="20"/>
        </w:rPr>
      </w:pPr>
    </w:p>
    <w:p w:rsidR="007C6560" w:rsidRDefault="007C6560" w:rsidP="007C6560">
      <w:pPr>
        <w:pStyle w:val="Prrafodelista"/>
        <w:spacing w:after="0" w:line="240" w:lineRule="auto"/>
        <w:jc w:val="both"/>
        <w:rPr>
          <w:rFonts w:ascii="Verdana" w:hAnsi="Verdana"/>
          <w:b/>
          <w:sz w:val="20"/>
          <w:szCs w:val="20"/>
        </w:rPr>
      </w:pPr>
    </w:p>
    <w:p w:rsidR="007C6560" w:rsidRDefault="007C6560" w:rsidP="007C6560">
      <w:pPr>
        <w:pStyle w:val="Prrafodelista"/>
        <w:spacing w:after="0" w:line="240" w:lineRule="auto"/>
        <w:jc w:val="both"/>
        <w:rPr>
          <w:rFonts w:ascii="Verdana" w:hAnsi="Verdana"/>
          <w:b/>
          <w:sz w:val="20"/>
          <w:szCs w:val="20"/>
        </w:rPr>
      </w:pPr>
    </w:p>
    <w:p w:rsidR="00E131FB" w:rsidRDefault="00E131FB" w:rsidP="00E131FB">
      <w:pPr>
        <w:pStyle w:val="Prrafodelista"/>
        <w:numPr>
          <w:ilvl w:val="0"/>
          <w:numId w:val="1"/>
        </w:numPr>
        <w:spacing w:after="0" w:line="240" w:lineRule="auto"/>
        <w:jc w:val="both"/>
        <w:rPr>
          <w:rFonts w:ascii="Verdana" w:hAnsi="Verdana"/>
          <w:b/>
          <w:sz w:val="20"/>
          <w:szCs w:val="20"/>
        </w:rPr>
      </w:pPr>
      <w:r w:rsidRPr="0033282F">
        <w:rPr>
          <w:rFonts w:ascii="Verdana" w:hAnsi="Verdana"/>
          <w:b/>
          <w:sz w:val="20"/>
          <w:szCs w:val="20"/>
        </w:rPr>
        <w:lastRenderedPageBreak/>
        <w:t>Procedimiento para las conclusiones</w:t>
      </w:r>
      <w:r w:rsidR="0033282F">
        <w:rPr>
          <w:rFonts w:ascii="Verdana" w:hAnsi="Verdana"/>
          <w:b/>
          <w:sz w:val="20"/>
          <w:szCs w:val="20"/>
        </w:rPr>
        <w:t>:</w:t>
      </w:r>
    </w:p>
    <w:p w:rsidR="00882082" w:rsidRDefault="00882082" w:rsidP="00882082">
      <w:pPr>
        <w:spacing w:after="0" w:line="240" w:lineRule="auto"/>
        <w:jc w:val="both"/>
        <w:rPr>
          <w:rFonts w:ascii="Verdana" w:hAnsi="Verdana"/>
          <w:b/>
          <w:sz w:val="20"/>
          <w:szCs w:val="20"/>
        </w:rPr>
      </w:pPr>
    </w:p>
    <w:p w:rsidR="00882082" w:rsidRPr="00882082" w:rsidRDefault="00882082" w:rsidP="00882082">
      <w:pPr>
        <w:spacing w:after="0" w:line="240" w:lineRule="auto"/>
        <w:jc w:val="both"/>
        <w:rPr>
          <w:rFonts w:ascii="Verdana" w:hAnsi="Verdana"/>
          <w:sz w:val="20"/>
          <w:szCs w:val="20"/>
        </w:rPr>
      </w:pPr>
      <w:r w:rsidRPr="00882082">
        <w:rPr>
          <w:rFonts w:ascii="Verdana" w:hAnsi="Verdana"/>
          <w:sz w:val="20"/>
          <w:szCs w:val="20"/>
        </w:rPr>
        <w:t xml:space="preserve">Una vez que se tenga la información </w:t>
      </w:r>
      <w:r w:rsidR="00F617EE">
        <w:rPr>
          <w:rFonts w:ascii="Verdana" w:hAnsi="Verdana"/>
          <w:sz w:val="20"/>
          <w:szCs w:val="20"/>
        </w:rPr>
        <w:t xml:space="preserve">de todos los países </w:t>
      </w:r>
      <w:r w:rsidRPr="00882082">
        <w:rPr>
          <w:rFonts w:ascii="Verdana" w:hAnsi="Verdana"/>
          <w:sz w:val="20"/>
          <w:szCs w:val="20"/>
        </w:rPr>
        <w:t>en la página</w:t>
      </w:r>
      <w:r w:rsidR="00F617EE">
        <w:rPr>
          <w:rFonts w:ascii="Verdana" w:hAnsi="Verdana"/>
          <w:sz w:val="20"/>
          <w:szCs w:val="20"/>
        </w:rPr>
        <w:t xml:space="preserve"> –esto es en la fecha acordada para hacerlo-</w:t>
      </w:r>
      <w:r w:rsidRPr="00882082">
        <w:rPr>
          <w:rFonts w:ascii="Verdana" w:hAnsi="Verdana"/>
          <w:sz w:val="20"/>
          <w:szCs w:val="20"/>
        </w:rPr>
        <w:t xml:space="preserve"> cada país deberá emitir sus propias conclusiones y proponer una conclusión general para el Grupo</w:t>
      </w:r>
      <w:r w:rsidR="00F617EE">
        <w:rPr>
          <w:rFonts w:ascii="Verdana" w:hAnsi="Verdana"/>
          <w:sz w:val="20"/>
          <w:szCs w:val="20"/>
        </w:rPr>
        <w:t xml:space="preserve"> de Jurisprudencia RTA</w:t>
      </w:r>
      <w:r w:rsidRPr="00882082">
        <w:rPr>
          <w:rFonts w:ascii="Verdana" w:hAnsi="Verdana"/>
          <w:sz w:val="20"/>
          <w:szCs w:val="20"/>
        </w:rPr>
        <w:t>.</w:t>
      </w:r>
    </w:p>
    <w:p w:rsidR="00882082" w:rsidRPr="00882082" w:rsidRDefault="00882082" w:rsidP="00882082">
      <w:pPr>
        <w:spacing w:after="0" w:line="240" w:lineRule="auto"/>
        <w:jc w:val="both"/>
        <w:rPr>
          <w:rFonts w:ascii="Verdana" w:hAnsi="Verdana"/>
          <w:sz w:val="20"/>
          <w:szCs w:val="20"/>
        </w:rPr>
      </w:pPr>
    </w:p>
    <w:p w:rsidR="00882082" w:rsidRPr="00882082" w:rsidRDefault="00882082" w:rsidP="00882082">
      <w:pPr>
        <w:spacing w:after="0" w:line="240" w:lineRule="auto"/>
        <w:jc w:val="both"/>
        <w:rPr>
          <w:rFonts w:ascii="Verdana" w:hAnsi="Verdana"/>
          <w:sz w:val="20"/>
          <w:szCs w:val="20"/>
        </w:rPr>
      </w:pPr>
      <w:r w:rsidRPr="00882082">
        <w:rPr>
          <w:rFonts w:ascii="Verdana" w:hAnsi="Verdana"/>
          <w:sz w:val="20"/>
          <w:szCs w:val="20"/>
        </w:rPr>
        <w:t>México, al ser el grupo líder</w:t>
      </w:r>
      <w:r w:rsidR="00F617EE">
        <w:rPr>
          <w:rFonts w:ascii="Verdana" w:hAnsi="Verdana"/>
          <w:sz w:val="20"/>
          <w:szCs w:val="20"/>
        </w:rPr>
        <w:t>,</w:t>
      </w:r>
      <w:r w:rsidRPr="00882082">
        <w:rPr>
          <w:rFonts w:ascii="Verdana" w:hAnsi="Verdana"/>
          <w:sz w:val="20"/>
          <w:szCs w:val="20"/>
        </w:rPr>
        <w:t xml:space="preserve"> elaborará un análisis de todas las propuestas y emitirá un criterio </w:t>
      </w:r>
      <w:r w:rsidR="00F617EE">
        <w:rPr>
          <w:rFonts w:ascii="Verdana" w:hAnsi="Verdana"/>
          <w:sz w:val="20"/>
          <w:szCs w:val="20"/>
        </w:rPr>
        <w:t xml:space="preserve">único </w:t>
      </w:r>
      <w:r w:rsidRPr="00882082">
        <w:rPr>
          <w:rFonts w:ascii="Verdana" w:hAnsi="Verdana"/>
          <w:sz w:val="20"/>
          <w:szCs w:val="20"/>
        </w:rPr>
        <w:t>que previamente enviará a los países miembro</w:t>
      </w:r>
      <w:r>
        <w:rPr>
          <w:rFonts w:ascii="Verdana" w:hAnsi="Verdana"/>
          <w:sz w:val="20"/>
          <w:szCs w:val="20"/>
        </w:rPr>
        <w:t>s</w:t>
      </w:r>
      <w:r w:rsidRPr="00882082">
        <w:rPr>
          <w:rFonts w:ascii="Verdana" w:hAnsi="Verdana"/>
          <w:sz w:val="20"/>
          <w:szCs w:val="20"/>
        </w:rPr>
        <w:t xml:space="preserve"> para </w:t>
      </w:r>
      <w:r w:rsidR="005E04AA">
        <w:rPr>
          <w:rFonts w:ascii="Verdana" w:hAnsi="Verdana"/>
          <w:sz w:val="20"/>
          <w:szCs w:val="20"/>
        </w:rPr>
        <w:t>reflejar la posición que tiene el grupo en ese tema</w:t>
      </w:r>
      <w:r w:rsidRPr="00882082">
        <w:rPr>
          <w:rFonts w:ascii="Verdana" w:hAnsi="Verdana"/>
          <w:sz w:val="20"/>
          <w:szCs w:val="20"/>
        </w:rPr>
        <w:t xml:space="preserve">. Lo anterior, con independencia de que se publicará también en la página el criterio </w:t>
      </w:r>
      <w:r w:rsidR="00F617EE">
        <w:rPr>
          <w:rFonts w:ascii="Verdana" w:hAnsi="Verdana"/>
          <w:sz w:val="20"/>
          <w:szCs w:val="20"/>
        </w:rPr>
        <w:t>al que haya concluido cada país en lo individual.</w:t>
      </w:r>
      <w:r w:rsidRPr="00882082">
        <w:rPr>
          <w:rFonts w:ascii="Verdana" w:hAnsi="Verdana"/>
          <w:sz w:val="20"/>
          <w:szCs w:val="20"/>
        </w:rPr>
        <w:t xml:space="preserve"> </w:t>
      </w:r>
    </w:p>
    <w:p w:rsidR="0033282F" w:rsidRDefault="0033282F" w:rsidP="0033282F">
      <w:pPr>
        <w:spacing w:after="0" w:line="240" w:lineRule="auto"/>
        <w:ind w:left="360"/>
        <w:jc w:val="both"/>
        <w:rPr>
          <w:rFonts w:ascii="Verdana" w:hAnsi="Verdana"/>
          <w:b/>
          <w:sz w:val="20"/>
          <w:szCs w:val="20"/>
        </w:rPr>
      </w:pPr>
    </w:p>
    <w:p w:rsidR="0033282F" w:rsidRPr="0033282F" w:rsidRDefault="0033282F" w:rsidP="0033282F">
      <w:pPr>
        <w:spacing w:after="0" w:line="240" w:lineRule="auto"/>
        <w:ind w:left="360"/>
        <w:jc w:val="both"/>
        <w:rPr>
          <w:rFonts w:ascii="Verdana" w:hAnsi="Verdana"/>
          <w:b/>
          <w:sz w:val="20"/>
          <w:szCs w:val="20"/>
        </w:rPr>
      </w:pPr>
    </w:p>
    <w:tbl>
      <w:tblPr>
        <w:tblW w:w="897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093"/>
        <w:gridCol w:w="6885"/>
      </w:tblGrid>
      <w:tr w:rsidR="00882082" w:rsidRPr="00522F6E" w:rsidTr="00882082">
        <w:tc>
          <w:tcPr>
            <w:tcW w:w="8978" w:type="dxa"/>
            <w:gridSpan w:val="2"/>
            <w:shd w:val="clear" w:color="auto" w:fill="auto"/>
          </w:tcPr>
          <w:p w:rsidR="00882082" w:rsidRPr="00522F6E" w:rsidRDefault="00882082" w:rsidP="00882082">
            <w:pPr>
              <w:spacing w:after="0" w:line="240" w:lineRule="auto"/>
              <w:jc w:val="center"/>
              <w:rPr>
                <w:rFonts w:ascii="Verdana" w:eastAsia="Times New Roman" w:hAnsi="Verdana" w:cs="Arial"/>
                <w:b/>
                <w:iCs/>
                <w:sz w:val="18"/>
                <w:szCs w:val="18"/>
              </w:rPr>
            </w:pPr>
            <w:r w:rsidRPr="00882082">
              <w:rPr>
                <w:rFonts w:ascii="Verdana" w:eastAsia="Calibri" w:hAnsi="Verdana" w:cs="Times New Roman"/>
                <w:b/>
                <w:lang w:val="es-MX"/>
              </w:rPr>
              <w:t>“…”</w:t>
            </w:r>
            <w:r>
              <w:rPr>
                <w:rFonts w:ascii="Verdana" w:eastAsia="Calibri" w:hAnsi="Verdana" w:cs="Times New Roman"/>
                <w:b/>
                <w:sz w:val="18"/>
                <w:szCs w:val="18"/>
                <w:lang w:val="es-MX"/>
              </w:rPr>
              <w:t xml:space="preserve"> (Tema</w:t>
            </w:r>
            <w:r w:rsidR="005E04AA">
              <w:rPr>
                <w:rFonts w:ascii="Verdana" w:eastAsia="Calibri" w:hAnsi="Verdana" w:cs="Times New Roman"/>
                <w:b/>
                <w:sz w:val="18"/>
                <w:szCs w:val="18"/>
                <w:lang w:val="es-MX"/>
              </w:rPr>
              <w:t xml:space="preserve"> y subtema</w:t>
            </w:r>
            <w:r>
              <w:rPr>
                <w:rFonts w:ascii="Verdana" w:eastAsia="Calibri" w:hAnsi="Verdana" w:cs="Times New Roman"/>
                <w:b/>
                <w:sz w:val="18"/>
                <w:szCs w:val="18"/>
                <w:lang w:val="es-MX"/>
              </w:rPr>
              <w:t>)</w:t>
            </w:r>
          </w:p>
        </w:tc>
      </w:tr>
      <w:tr w:rsidR="00882082" w:rsidRPr="00522F6E" w:rsidTr="00882082">
        <w:tc>
          <w:tcPr>
            <w:tcW w:w="2093" w:type="dxa"/>
            <w:shd w:val="clear" w:color="auto" w:fill="auto"/>
          </w:tcPr>
          <w:p w:rsidR="00882082" w:rsidRPr="00522F6E" w:rsidRDefault="00F617EE" w:rsidP="00882082">
            <w:pPr>
              <w:spacing w:after="0" w:line="240" w:lineRule="auto"/>
              <w:jc w:val="center"/>
              <w:rPr>
                <w:rFonts w:ascii="Verdana" w:eastAsia="Calibri" w:hAnsi="Verdana" w:cs="Times New Roman"/>
                <w:b/>
                <w:sz w:val="18"/>
                <w:szCs w:val="18"/>
                <w:lang w:val="es-MX"/>
              </w:rPr>
            </w:pPr>
            <w:r>
              <w:rPr>
                <w:rFonts w:ascii="Verdana" w:eastAsia="Calibri" w:hAnsi="Verdana" w:cs="Times New Roman"/>
                <w:b/>
                <w:sz w:val="18"/>
                <w:szCs w:val="18"/>
                <w:lang w:val="es-MX"/>
              </w:rPr>
              <w:t>Conclusiones por País</w:t>
            </w:r>
          </w:p>
        </w:tc>
        <w:tc>
          <w:tcPr>
            <w:tcW w:w="6885" w:type="dxa"/>
            <w:shd w:val="clear" w:color="auto" w:fill="auto"/>
          </w:tcPr>
          <w:p w:rsidR="00882082" w:rsidRDefault="004E3DB1" w:rsidP="004E3DB1">
            <w:pPr>
              <w:spacing w:after="0" w:line="240" w:lineRule="auto"/>
              <w:jc w:val="both"/>
              <w:rPr>
                <w:rFonts w:ascii="Calibri" w:eastAsia="Calibri" w:hAnsi="Calibri" w:cs="Calibri"/>
                <w:lang w:val="es-CL"/>
              </w:rPr>
            </w:pPr>
            <w:r>
              <w:rPr>
                <w:rFonts w:ascii="Verdana" w:eastAsia="Times New Roman" w:hAnsi="Verdana" w:cs="Arial"/>
                <w:iCs/>
                <w:sz w:val="18"/>
                <w:szCs w:val="18"/>
              </w:rPr>
              <w:t xml:space="preserve">De la información que fue recibida por parte de los miembros del </w:t>
            </w:r>
            <w:r>
              <w:rPr>
                <w:rFonts w:ascii="Calibri" w:eastAsia="Calibri" w:hAnsi="Calibri" w:cs="Calibri"/>
                <w:lang w:val="es-CL"/>
              </w:rPr>
              <w:t>Grupo de Trabajo de Jurisprudencia y Criterios Administrativos de la RTA, México emite las siguientes conclusiones:</w:t>
            </w:r>
          </w:p>
          <w:p w:rsidR="004E3DB1" w:rsidRDefault="004E3DB1" w:rsidP="004E3DB1">
            <w:pPr>
              <w:spacing w:after="0" w:line="240" w:lineRule="auto"/>
              <w:jc w:val="both"/>
              <w:rPr>
                <w:rFonts w:ascii="Calibri" w:eastAsia="Calibri" w:hAnsi="Calibri" w:cs="Calibri"/>
                <w:lang w:val="es-CL"/>
              </w:rPr>
            </w:pPr>
          </w:p>
          <w:p w:rsidR="004E3DB1" w:rsidRDefault="00A747EF" w:rsidP="004E3DB1">
            <w:pPr>
              <w:spacing w:after="0" w:line="240" w:lineRule="auto"/>
              <w:jc w:val="both"/>
              <w:rPr>
                <w:rFonts w:ascii="Calibri" w:eastAsia="Calibri" w:hAnsi="Calibri" w:cs="Calibri"/>
                <w:lang w:val="es-CL"/>
              </w:rPr>
            </w:pPr>
            <w:r>
              <w:rPr>
                <w:rFonts w:ascii="Calibri" w:eastAsia="Calibri" w:hAnsi="Calibri" w:cs="Calibri"/>
                <w:lang w:val="es-CL"/>
              </w:rPr>
              <w:t>1. El de</w:t>
            </w:r>
            <w:r w:rsidR="004E3DB1">
              <w:rPr>
                <w:rFonts w:ascii="Calibri" w:eastAsia="Calibri" w:hAnsi="Calibri" w:cs="Calibri"/>
                <w:lang w:val="es-CL"/>
              </w:rPr>
              <w:t xml:space="preserve">recho </w:t>
            </w:r>
            <w:r>
              <w:rPr>
                <w:rFonts w:ascii="Calibri" w:eastAsia="Calibri" w:hAnsi="Calibri" w:cs="Calibri"/>
                <w:lang w:val="es-CL"/>
              </w:rPr>
              <w:t>humano de acceso a la i</w:t>
            </w:r>
            <w:r w:rsidR="004E3DB1">
              <w:rPr>
                <w:rFonts w:ascii="Calibri" w:eastAsia="Calibri" w:hAnsi="Calibri" w:cs="Calibri"/>
                <w:lang w:val="es-CL"/>
              </w:rPr>
              <w:t xml:space="preserve">nformación debe ser tutelado por el Estado, con el fin de salvaguardar su debido ejercicio y </w:t>
            </w:r>
            <w:r>
              <w:rPr>
                <w:rFonts w:ascii="Calibri" w:eastAsia="Calibri" w:hAnsi="Calibri" w:cs="Calibri"/>
                <w:lang w:val="es-CL"/>
              </w:rPr>
              <w:t>promoción como un elemento clave para el desarrollo de cualquier democracia</w:t>
            </w:r>
            <w:r w:rsidR="004E3DB1">
              <w:rPr>
                <w:rFonts w:ascii="Calibri" w:eastAsia="Calibri" w:hAnsi="Calibri" w:cs="Calibri"/>
                <w:lang w:val="es-CL"/>
              </w:rPr>
              <w:t>.</w:t>
            </w:r>
          </w:p>
          <w:p w:rsidR="00A747EF" w:rsidRDefault="004E3DB1" w:rsidP="004E3DB1">
            <w:pPr>
              <w:spacing w:after="0" w:line="240" w:lineRule="auto"/>
              <w:jc w:val="both"/>
              <w:rPr>
                <w:rFonts w:ascii="Calibri" w:eastAsia="Calibri" w:hAnsi="Calibri" w:cs="Calibri"/>
                <w:lang w:val="es-CL"/>
              </w:rPr>
            </w:pPr>
            <w:r>
              <w:rPr>
                <w:rFonts w:ascii="Calibri" w:eastAsia="Calibri" w:hAnsi="Calibri" w:cs="Calibri"/>
                <w:lang w:val="es-CL"/>
              </w:rPr>
              <w:t xml:space="preserve">2. </w:t>
            </w:r>
            <w:r w:rsidR="00CA2D8A">
              <w:rPr>
                <w:rFonts w:ascii="Calibri" w:eastAsia="Calibri" w:hAnsi="Calibri" w:cs="Calibri"/>
                <w:lang w:val="es-CL"/>
              </w:rPr>
              <w:t>Respecto de la información que genere, reciba, modifique o trans</w:t>
            </w:r>
            <w:r w:rsidR="00A747EF">
              <w:rPr>
                <w:rFonts w:ascii="Calibri" w:eastAsia="Calibri" w:hAnsi="Calibri" w:cs="Calibri"/>
                <w:lang w:val="es-CL"/>
              </w:rPr>
              <w:t>forme</w:t>
            </w:r>
            <w:r w:rsidR="00CA2D8A">
              <w:rPr>
                <w:rFonts w:ascii="Calibri" w:eastAsia="Calibri" w:hAnsi="Calibri" w:cs="Calibri"/>
                <w:lang w:val="es-CL"/>
              </w:rPr>
              <w:t xml:space="preserve"> el Estado, la regla debe ser la publicidad de la misma</w:t>
            </w:r>
            <w:r w:rsidR="00A747EF">
              <w:rPr>
                <w:rFonts w:ascii="Calibri" w:eastAsia="Calibri" w:hAnsi="Calibri" w:cs="Calibri"/>
                <w:lang w:val="es-CL"/>
              </w:rPr>
              <w:t>,</w:t>
            </w:r>
            <w:r w:rsidR="00CA2D8A">
              <w:rPr>
                <w:rFonts w:ascii="Calibri" w:eastAsia="Calibri" w:hAnsi="Calibri" w:cs="Calibri"/>
                <w:lang w:val="es-CL"/>
              </w:rPr>
              <w:t xml:space="preserve"> y sólo </w:t>
            </w:r>
            <w:r w:rsidR="00A747EF">
              <w:rPr>
                <w:rFonts w:ascii="Calibri" w:eastAsia="Calibri" w:hAnsi="Calibri" w:cs="Calibri"/>
                <w:lang w:val="es-CL"/>
              </w:rPr>
              <w:t>de manera excepcional, temporal y por una razón de interés público o seguridad nacional prevista en una ley, en sentido formal y material, puede limitarse ese derecho.</w:t>
            </w:r>
          </w:p>
          <w:p w:rsidR="00CA2D8A" w:rsidRDefault="00CA2D8A" w:rsidP="00CA2D8A">
            <w:pPr>
              <w:spacing w:after="0" w:line="240" w:lineRule="auto"/>
              <w:jc w:val="both"/>
              <w:rPr>
                <w:rFonts w:ascii="Calibri" w:eastAsia="Calibri" w:hAnsi="Calibri" w:cs="Calibri"/>
                <w:lang w:val="es-CL"/>
              </w:rPr>
            </w:pPr>
            <w:r>
              <w:rPr>
                <w:rFonts w:ascii="Calibri" w:eastAsia="Calibri" w:hAnsi="Calibri" w:cs="Calibri"/>
                <w:lang w:val="es-CL"/>
              </w:rPr>
              <w:t xml:space="preserve">3. </w:t>
            </w:r>
            <w:r w:rsidR="00A747EF">
              <w:rPr>
                <w:rFonts w:ascii="Calibri" w:eastAsia="Calibri" w:hAnsi="Calibri" w:cs="Calibri"/>
                <w:lang w:val="es-CL"/>
              </w:rPr>
              <w:t xml:space="preserve"> La carga de acreditar la reserva de la información pública es para la autoridad que detenta la información y que la reserva, y esa </w:t>
            </w:r>
            <w:r>
              <w:rPr>
                <w:rFonts w:ascii="Calibri" w:eastAsia="Calibri" w:hAnsi="Calibri" w:cs="Calibri"/>
                <w:lang w:val="es-CL"/>
              </w:rPr>
              <w:t xml:space="preserve">“prueba de daño” </w:t>
            </w:r>
            <w:r w:rsidR="00A747EF">
              <w:rPr>
                <w:rFonts w:ascii="Calibri" w:eastAsia="Calibri" w:hAnsi="Calibri" w:cs="Calibri"/>
                <w:lang w:val="es-CL"/>
              </w:rPr>
              <w:t xml:space="preserve">debe </w:t>
            </w:r>
            <w:r w:rsidR="00E2122B">
              <w:rPr>
                <w:rFonts w:ascii="Calibri" w:eastAsia="Calibri" w:hAnsi="Calibri" w:cs="Calibri"/>
                <w:lang w:val="es-CL"/>
              </w:rPr>
              <w:t xml:space="preserve">ser una obligación </w:t>
            </w:r>
            <w:r w:rsidR="00A747EF">
              <w:rPr>
                <w:rFonts w:ascii="Calibri" w:eastAsia="Calibri" w:hAnsi="Calibri" w:cs="Calibri"/>
                <w:lang w:val="es-CL"/>
              </w:rPr>
              <w:t xml:space="preserve">expresamente prevista </w:t>
            </w:r>
            <w:r>
              <w:rPr>
                <w:rFonts w:ascii="Calibri" w:eastAsia="Calibri" w:hAnsi="Calibri" w:cs="Calibri"/>
                <w:lang w:val="es-CL"/>
              </w:rPr>
              <w:t xml:space="preserve">en </w:t>
            </w:r>
            <w:r w:rsidR="00A747EF">
              <w:rPr>
                <w:rFonts w:ascii="Calibri" w:eastAsia="Calibri" w:hAnsi="Calibri" w:cs="Calibri"/>
                <w:lang w:val="es-CL"/>
              </w:rPr>
              <w:t xml:space="preserve">una </w:t>
            </w:r>
            <w:r>
              <w:rPr>
                <w:rFonts w:ascii="Calibri" w:eastAsia="Calibri" w:hAnsi="Calibri" w:cs="Calibri"/>
                <w:lang w:val="es-CL"/>
              </w:rPr>
              <w:t xml:space="preserve">Ley, </w:t>
            </w:r>
            <w:r w:rsidR="00A747EF">
              <w:rPr>
                <w:rFonts w:ascii="Calibri" w:eastAsia="Calibri" w:hAnsi="Calibri" w:cs="Calibri"/>
                <w:lang w:val="es-CL"/>
              </w:rPr>
              <w:t xml:space="preserve">en la que se precisen sus elementos de validez, quién debe efectuarla y cuándo debe hacerlo, </w:t>
            </w:r>
            <w:r w:rsidR="00E2122B">
              <w:rPr>
                <w:rFonts w:ascii="Calibri" w:eastAsia="Calibri" w:hAnsi="Calibri" w:cs="Calibri"/>
                <w:lang w:val="es-CL"/>
              </w:rPr>
              <w:t>para brindar</w:t>
            </w:r>
            <w:r>
              <w:rPr>
                <w:rFonts w:ascii="Calibri" w:eastAsia="Calibri" w:hAnsi="Calibri" w:cs="Calibri"/>
                <w:lang w:val="es-CL"/>
              </w:rPr>
              <w:t xml:space="preserve"> certeza jurídica a los solicitantes de información.</w:t>
            </w:r>
          </w:p>
          <w:p w:rsidR="00D736C0" w:rsidRPr="00D736C0" w:rsidRDefault="00CA2D8A" w:rsidP="00E2122B">
            <w:pPr>
              <w:spacing w:after="0" w:line="240" w:lineRule="auto"/>
              <w:jc w:val="both"/>
              <w:rPr>
                <w:rFonts w:ascii="Calibri" w:eastAsia="Calibri" w:hAnsi="Calibri" w:cs="Calibri"/>
                <w:lang w:val="es-CL"/>
              </w:rPr>
            </w:pPr>
            <w:r>
              <w:rPr>
                <w:rFonts w:ascii="Calibri" w:eastAsia="Calibri" w:hAnsi="Calibri" w:cs="Calibri"/>
                <w:lang w:val="es-CL"/>
              </w:rPr>
              <w:t xml:space="preserve">4. </w:t>
            </w:r>
            <w:r w:rsidR="00E2122B">
              <w:rPr>
                <w:rFonts w:ascii="Calibri" w:eastAsia="Calibri" w:hAnsi="Calibri" w:cs="Calibri"/>
                <w:lang w:val="es-CL"/>
              </w:rPr>
              <w:t>Reconociendo al acceso a la información como un derecho humano respecto del cual rige el principio de universalidad, según el cual no existen fronteras para su ejercicio, y derivado de las mezclas conceptuales que se advierten entre los miembros del subgrupo, resultaría útil acuñar conceptos, glosarios o palabras clave que coadyuvan a dar mayor precisión sobre las posibles diferencias entre “prueba de interés público” y “prueba de daño”</w:t>
            </w:r>
            <w:r w:rsidR="00D736C0">
              <w:rPr>
                <w:rFonts w:ascii="Calibri" w:eastAsia="Calibri" w:hAnsi="Calibri" w:cs="Calibri"/>
                <w:lang w:val="es-CL"/>
              </w:rPr>
              <w:t>.</w:t>
            </w:r>
          </w:p>
        </w:tc>
      </w:tr>
      <w:tr w:rsidR="00882082" w:rsidRPr="00522F6E" w:rsidTr="00882082">
        <w:tc>
          <w:tcPr>
            <w:tcW w:w="2093" w:type="dxa"/>
            <w:shd w:val="clear" w:color="auto" w:fill="auto"/>
          </w:tcPr>
          <w:p w:rsidR="00F617EE" w:rsidRDefault="00F617EE" w:rsidP="00882082">
            <w:pPr>
              <w:spacing w:after="0" w:line="240" w:lineRule="auto"/>
              <w:jc w:val="center"/>
              <w:rPr>
                <w:rFonts w:ascii="Verdana" w:eastAsia="Calibri" w:hAnsi="Verdana" w:cs="Times New Roman"/>
                <w:b/>
                <w:sz w:val="18"/>
                <w:szCs w:val="18"/>
                <w:lang w:val="es-MX"/>
              </w:rPr>
            </w:pPr>
            <w:r>
              <w:rPr>
                <w:rFonts w:ascii="Verdana" w:eastAsia="Calibri" w:hAnsi="Verdana" w:cs="Times New Roman"/>
                <w:b/>
                <w:sz w:val="18"/>
                <w:szCs w:val="18"/>
                <w:lang w:val="es-MX"/>
              </w:rPr>
              <w:t>Criterio Propuesto</w:t>
            </w:r>
          </w:p>
          <w:p w:rsidR="00882082" w:rsidRPr="00F617EE" w:rsidRDefault="00F617EE" w:rsidP="00882082">
            <w:pPr>
              <w:spacing w:after="0" w:line="240" w:lineRule="auto"/>
              <w:jc w:val="center"/>
              <w:rPr>
                <w:rFonts w:ascii="Verdana" w:eastAsia="Calibri" w:hAnsi="Verdana" w:cs="Times New Roman"/>
                <w:sz w:val="18"/>
                <w:szCs w:val="18"/>
                <w:lang w:val="es-MX"/>
              </w:rPr>
            </w:pPr>
            <w:r>
              <w:rPr>
                <w:rFonts w:ascii="Verdana" w:eastAsia="Calibri" w:hAnsi="Verdana" w:cs="Times New Roman"/>
                <w:sz w:val="18"/>
                <w:szCs w:val="18"/>
                <w:lang w:val="es-MX"/>
              </w:rPr>
              <w:t>(</w:t>
            </w:r>
            <w:r w:rsidRPr="00F617EE">
              <w:rPr>
                <w:rFonts w:ascii="Verdana" w:eastAsia="Calibri" w:hAnsi="Verdana" w:cs="Times New Roman"/>
                <w:sz w:val="18"/>
                <w:szCs w:val="18"/>
                <w:lang w:val="es-MX"/>
              </w:rPr>
              <w:t>Conclusión para el Grupo</w:t>
            </w:r>
            <w:r>
              <w:rPr>
                <w:rFonts w:ascii="Verdana" w:eastAsia="Calibri" w:hAnsi="Verdana" w:cs="Times New Roman"/>
                <w:sz w:val="18"/>
                <w:szCs w:val="18"/>
                <w:lang w:val="es-MX"/>
              </w:rPr>
              <w:t>)</w:t>
            </w:r>
          </w:p>
        </w:tc>
        <w:tc>
          <w:tcPr>
            <w:tcW w:w="6885" w:type="dxa"/>
            <w:shd w:val="clear" w:color="auto" w:fill="auto"/>
          </w:tcPr>
          <w:p w:rsidR="008501FB" w:rsidRPr="008501FB" w:rsidRDefault="008501FB" w:rsidP="008501FB">
            <w:pPr>
              <w:spacing w:after="0" w:line="240" w:lineRule="auto"/>
              <w:jc w:val="both"/>
              <w:rPr>
                <w:rFonts w:ascii="Calibri" w:eastAsia="Calibri" w:hAnsi="Calibri" w:cs="Calibri"/>
                <w:lang w:val="es-MX"/>
              </w:rPr>
            </w:pPr>
            <w:r>
              <w:rPr>
                <w:rFonts w:ascii="Calibri" w:eastAsia="Calibri" w:hAnsi="Calibri" w:cs="Calibri"/>
                <w:lang w:val="es-MX"/>
              </w:rPr>
              <w:t xml:space="preserve">1. </w:t>
            </w:r>
            <w:r w:rsidR="00E2122B" w:rsidRPr="008501FB">
              <w:rPr>
                <w:rFonts w:ascii="Calibri" w:eastAsia="Calibri" w:hAnsi="Calibri" w:cs="Calibri"/>
                <w:lang w:val="es-MX"/>
              </w:rPr>
              <w:t xml:space="preserve">La </w:t>
            </w:r>
            <w:r w:rsidR="001C3072" w:rsidRPr="008501FB">
              <w:rPr>
                <w:rFonts w:ascii="Calibri" w:eastAsia="Calibri" w:hAnsi="Calibri" w:cs="Calibri"/>
                <w:lang w:val="es-MX"/>
              </w:rPr>
              <w:t>“</w:t>
            </w:r>
            <w:r w:rsidR="00E2122B" w:rsidRPr="008501FB">
              <w:rPr>
                <w:rFonts w:ascii="Calibri" w:eastAsia="Calibri" w:hAnsi="Calibri" w:cs="Calibri"/>
                <w:lang w:val="es-MX"/>
              </w:rPr>
              <w:t>prueba del daño</w:t>
            </w:r>
            <w:r w:rsidR="001C3072" w:rsidRPr="008501FB">
              <w:rPr>
                <w:rFonts w:ascii="Calibri" w:eastAsia="Calibri" w:hAnsi="Calibri" w:cs="Calibri"/>
                <w:lang w:val="es-MX"/>
              </w:rPr>
              <w:t>”</w:t>
            </w:r>
            <w:r w:rsidR="00E2122B" w:rsidRPr="008501FB">
              <w:rPr>
                <w:rFonts w:ascii="Calibri" w:eastAsia="Calibri" w:hAnsi="Calibri" w:cs="Calibri"/>
                <w:lang w:val="es-MX"/>
              </w:rPr>
              <w:t xml:space="preserve"> consiste en </w:t>
            </w:r>
            <w:r w:rsidR="001C3072" w:rsidRPr="008501FB">
              <w:rPr>
                <w:rFonts w:ascii="Calibri" w:eastAsia="Calibri" w:hAnsi="Calibri" w:cs="Calibri"/>
                <w:lang w:val="es-MX"/>
              </w:rPr>
              <w:t xml:space="preserve">la obligación legal a cargo </w:t>
            </w:r>
            <w:r w:rsidR="00E2122B" w:rsidRPr="008501FB">
              <w:rPr>
                <w:rFonts w:ascii="Calibri" w:eastAsia="Calibri" w:hAnsi="Calibri" w:cs="Calibri"/>
                <w:lang w:val="es-MX"/>
              </w:rPr>
              <w:t>de</w:t>
            </w:r>
            <w:r w:rsidR="001C3072" w:rsidRPr="008501FB">
              <w:rPr>
                <w:rFonts w:ascii="Calibri" w:eastAsia="Calibri" w:hAnsi="Calibri" w:cs="Calibri"/>
                <w:lang w:val="es-MX"/>
              </w:rPr>
              <w:t xml:space="preserve"> </w:t>
            </w:r>
            <w:r w:rsidR="00E2122B" w:rsidRPr="008501FB">
              <w:rPr>
                <w:rFonts w:ascii="Calibri" w:eastAsia="Calibri" w:hAnsi="Calibri" w:cs="Calibri"/>
                <w:lang w:val="es-MX"/>
              </w:rPr>
              <w:t>l</w:t>
            </w:r>
            <w:r w:rsidR="001C3072" w:rsidRPr="008501FB">
              <w:rPr>
                <w:rFonts w:ascii="Calibri" w:eastAsia="Calibri" w:hAnsi="Calibri" w:cs="Calibri"/>
                <w:lang w:val="es-MX"/>
              </w:rPr>
              <w:t>a autoridad o de los sujetos obligados</w:t>
            </w:r>
            <w:r w:rsidR="00E2122B" w:rsidRPr="008501FB">
              <w:rPr>
                <w:rFonts w:ascii="Calibri" w:eastAsia="Calibri" w:hAnsi="Calibri" w:cs="Calibri"/>
                <w:lang w:val="es-MX"/>
              </w:rPr>
              <w:t xml:space="preserve"> </w:t>
            </w:r>
            <w:r w:rsidR="001C3072" w:rsidRPr="008501FB">
              <w:rPr>
                <w:rFonts w:ascii="Calibri" w:eastAsia="Calibri" w:hAnsi="Calibri" w:cs="Calibri"/>
                <w:lang w:val="es-MX"/>
              </w:rPr>
              <w:t xml:space="preserve">a dar acceso a información pública, </w:t>
            </w:r>
            <w:r w:rsidR="00E2122B" w:rsidRPr="008501FB">
              <w:rPr>
                <w:rFonts w:ascii="Calibri" w:eastAsia="Calibri" w:hAnsi="Calibri" w:cs="Calibri"/>
                <w:lang w:val="es-MX"/>
              </w:rPr>
              <w:t>de fundar y motivar la clasificación de la información</w:t>
            </w:r>
            <w:r w:rsidR="001C3072" w:rsidRPr="008501FB">
              <w:rPr>
                <w:rFonts w:ascii="Calibri" w:eastAsia="Calibri" w:hAnsi="Calibri" w:cs="Calibri"/>
                <w:lang w:val="es-MX"/>
              </w:rPr>
              <w:t xml:space="preserve">, a través del señalamiento de la disposición legal –formal y materialmente considerada- que fundamente cierta reserva, así como de la identificación del riesgo real, demostrable e identificable que podría generar el acceso a la información a un determinado interés público o seguridad nacional, señalando el periodo que abarcaría la reserva. </w:t>
            </w:r>
          </w:p>
          <w:p w:rsidR="001C3072" w:rsidRPr="008501FB" w:rsidRDefault="008501FB" w:rsidP="008501FB">
            <w:pPr>
              <w:spacing w:after="0" w:line="240" w:lineRule="auto"/>
              <w:jc w:val="both"/>
              <w:rPr>
                <w:rFonts w:ascii="Calibri" w:eastAsia="Calibri" w:hAnsi="Calibri" w:cs="Calibri"/>
                <w:lang w:val="es-MX"/>
              </w:rPr>
            </w:pPr>
            <w:r>
              <w:rPr>
                <w:rFonts w:ascii="Calibri" w:eastAsia="Calibri" w:hAnsi="Calibri" w:cs="Calibri"/>
                <w:lang w:val="es-MX"/>
              </w:rPr>
              <w:t>2. La “prueba de daño”</w:t>
            </w:r>
            <w:r w:rsidR="001C3072" w:rsidRPr="008501FB">
              <w:rPr>
                <w:rFonts w:ascii="Calibri" w:eastAsia="Calibri" w:hAnsi="Calibri" w:cs="Calibri"/>
                <w:lang w:val="es-MX"/>
              </w:rPr>
              <w:t xml:space="preserve"> deberá efectuarse siempre que se niegue el acceso a la información, sin perjuicio de que se identifique previamente su carácter reservado como un elemento de seguridad en el tratamiento de </w:t>
            </w:r>
            <w:r w:rsidR="001C3072" w:rsidRPr="008501FB">
              <w:rPr>
                <w:rFonts w:ascii="Calibri" w:eastAsia="Calibri" w:hAnsi="Calibri" w:cs="Calibri"/>
                <w:lang w:val="es-MX"/>
              </w:rPr>
              <w:lastRenderedPageBreak/>
              <w:t xml:space="preserve">la misma, y deberá ser </w:t>
            </w:r>
            <w:r>
              <w:rPr>
                <w:rFonts w:ascii="Calibri" w:eastAsia="Calibri" w:hAnsi="Calibri" w:cs="Calibri"/>
                <w:lang w:val="es-MX"/>
              </w:rPr>
              <w:t>realizada</w:t>
            </w:r>
            <w:r w:rsidR="001C3072" w:rsidRPr="008501FB">
              <w:rPr>
                <w:rFonts w:ascii="Calibri" w:eastAsia="Calibri" w:hAnsi="Calibri" w:cs="Calibri"/>
                <w:lang w:val="es-MX"/>
              </w:rPr>
              <w:t xml:space="preserve"> por </w:t>
            </w:r>
            <w:r w:rsidRPr="008501FB">
              <w:rPr>
                <w:rFonts w:ascii="Calibri" w:eastAsia="Calibri" w:hAnsi="Calibri" w:cs="Calibri"/>
                <w:lang w:val="es-MX"/>
              </w:rPr>
              <w:t>quien la detente, con la posibilidad de que dicha prueba de daño pueda ser revisada por alguna otra instancia al interior de la autoridad o sujeto obligado.</w:t>
            </w:r>
          </w:p>
          <w:p w:rsidR="001C3072" w:rsidRDefault="008501FB" w:rsidP="008501FB">
            <w:pPr>
              <w:spacing w:after="0" w:line="240" w:lineRule="auto"/>
              <w:jc w:val="both"/>
              <w:rPr>
                <w:rFonts w:ascii="Calibri" w:eastAsia="Calibri" w:hAnsi="Calibri" w:cs="Calibri"/>
                <w:lang w:val="es-MX"/>
              </w:rPr>
            </w:pPr>
            <w:r>
              <w:rPr>
                <w:rFonts w:ascii="Calibri" w:eastAsia="Calibri" w:hAnsi="Calibri" w:cs="Calibri"/>
                <w:lang w:val="es-MX"/>
              </w:rPr>
              <w:t>3. Sin demérito del casuismo propio del ejercicio argumentativo de la prueba de daño, la emisión de lineamientos o guías de clasificación resultan útiles para orientar a las autoridades o sujetos obligados en su adecuada realización, así como para dar una mayor certeza a los particulares sobre sus alcances.</w:t>
            </w:r>
          </w:p>
          <w:p w:rsidR="00882082" w:rsidRPr="00D736C0" w:rsidRDefault="008501FB" w:rsidP="008501FB">
            <w:pPr>
              <w:spacing w:after="0" w:line="240" w:lineRule="auto"/>
              <w:jc w:val="both"/>
              <w:rPr>
                <w:rFonts w:ascii="Calibri" w:eastAsia="Calibri" w:hAnsi="Calibri" w:cs="Calibri"/>
                <w:iCs/>
              </w:rPr>
            </w:pPr>
            <w:r>
              <w:rPr>
                <w:rFonts w:ascii="Calibri" w:eastAsia="Calibri" w:hAnsi="Calibri" w:cs="Calibri"/>
                <w:lang w:val="es-MX"/>
              </w:rPr>
              <w:t xml:space="preserve">4. Con independencia de si existe o no una regulación especializada en materia de acceso a la información y, en particular, sobre la prueba de daño, sería conveniente que a la luz de las reflexiones formuladas por los integrantes del Subgrupo de Jurisprudencia, se propongan los criterios que deben de estar presentes para considerar como válida una prueba de daño. </w:t>
            </w:r>
          </w:p>
        </w:tc>
      </w:tr>
    </w:tbl>
    <w:p w:rsidR="00E131FB" w:rsidRPr="0033282F" w:rsidRDefault="00E131FB" w:rsidP="00E131FB">
      <w:pPr>
        <w:spacing w:after="0" w:line="240" w:lineRule="auto"/>
        <w:jc w:val="both"/>
        <w:rPr>
          <w:rFonts w:ascii="Verdana" w:hAnsi="Verdana"/>
          <w:sz w:val="20"/>
          <w:szCs w:val="20"/>
        </w:rPr>
      </w:pPr>
    </w:p>
    <w:sectPr w:rsidR="00E131FB" w:rsidRPr="0033282F" w:rsidSect="00F617EE">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90F" w:rsidRDefault="003F490F" w:rsidP="007C6560">
      <w:pPr>
        <w:spacing w:after="0" w:line="240" w:lineRule="auto"/>
      </w:pPr>
      <w:r>
        <w:separator/>
      </w:r>
    </w:p>
  </w:endnote>
  <w:endnote w:type="continuationSeparator" w:id="0">
    <w:p w:rsidR="003F490F" w:rsidRDefault="003F490F" w:rsidP="007C6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90F" w:rsidRDefault="003F490F" w:rsidP="007C6560">
      <w:pPr>
        <w:spacing w:after="0" w:line="240" w:lineRule="auto"/>
      </w:pPr>
      <w:r>
        <w:separator/>
      </w:r>
    </w:p>
  </w:footnote>
  <w:footnote w:type="continuationSeparator" w:id="0">
    <w:p w:rsidR="003F490F" w:rsidRDefault="003F490F" w:rsidP="007C6560">
      <w:pPr>
        <w:spacing w:after="0" w:line="240" w:lineRule="auto"/>
      </w:pPr>
      <w:r>
        <w:continuationSeparator/>
      </w:r>
    </w:p>
  </w:footnote>
  <w:footnote w:id="1">
    <w:p w:rsidR="007C6560" w:rsidRPr="007C6560" w:rsidRDefault="007C6560" w:rsidP="007C6560">
      <w:pPr>
        <w:pStyle w:val="Textonotapie"/>
        <w:jc w:val="both"/>
        <w:rPr>
          <w:lang w:val="es-MX"/>
        </w:rPr>
      </w:pPr>
      <w:r>
        <w:rPr>
          <w:rStyle w:val="Refdenotaalpie"/>
        </w:rPr>
        <w:footnoteRef/>
      </w:r>
      <w:r>
        <w:t xml:space="preserve"> </w:t>
      </w:r>
      <w:r w:rsidRPr="007C6560">
        <w:t>CIDH, Informe Anual de la Relatoría para la Libertad de Expresión, 2003, vol. III. Capítulo IV, párr.46; y Principios de Lima. Principio 8 “Excepciones al acceso a la información”</w:t>
      </w:r>
      <w:r>
        <w:t>.</w:t>
      </w:r>
    </w:p>
  </w:footnote>
  <w:footnote w:id="2">
    <w:p w:rsidR="007C6560" w:rsidRPr="007C6560" w:rsidRDefault="007C6560">
      <w:pPr>
        <w:pStyle w:val="Textonotapie"/>
        <w:rPr>
          <w:b/>
        </w:rPr>
      </w:pPr>
      <w:r>
        <w:rPr>
          <w:rStyle w:val="Refdenotaalpie"/>
        </w:rPr>
        <w:footnoteRef/>
      </w:r>
      <w:r>
        <w:t xml:space="preserve"> Disponible para su consulta en: </w:t>
      </w:r>
      <w:hyperlink r:id="rId1" w:history="1">
        <w:r w:rsidRPr="007C6560">
          <w:rPr>
            <w:rStyle w:val="Hipervnculo"/>
          </w:rPr>
          <w:t>http://consultas.ifai.org.mx/descargar.</w:t>
        </w:r>
        <w:bookmarkStart w:id="0" w:name="_GoBack"/>
        <w:bookmarkEnd w:id="0"/>
        <w:r w:rsidRPr="007C6560">
          <w:rPr>
            <w:rStyle w:val="Hipervnculo"/>
          </w:rPr>
          <w:t>php?r=./pdf/resoluciones/2014/&amp;a=RDA%204559.pdf</w:t>
        </w:r>
      </w:hyperlink>
    </w:p>
  </w:footnote>
  <w:footnote w:id="3">
    <w:p w:rsidR="007C6560" w:rsidRPr="007C6560" w:rsidRDefault="007C6560">
      <w:pPr>
        <w:pStyle w:val="Textonotapie"/>
      </w:pPr>
      <w:r>
        <w:rPr>
          <w:rStyle w:val="Refdenotaalpie"/>
        </w:rPr>
        <w:footnoteRef/>
      </w:r>
      <w:r>
        <w:t xml:space="preserve"> Disponible para su consulta en: </w:t>
      </w:r>
      <w:hyperlink r:id="rId2" w:history="1">
        <w:r w:rsidRPr="007C6560">
          <w:rPr>
            <w:rStyle w:val="Hipervnculo"/>
          </w:rPr>
          <w:t>http://consultas.ifai.org.mx/descargar.php?r=./pdf/resoluciones/2014/&amp;a=RDA%204560.pdf</w:t>
        </w:r>
      </w:hyperlink>
    </w:p>
  </w:footnote>
  <w:footnote w:id="4">
    <w:p w:rsidR="007C6560" w:rsidRPr="007C6560" w:rsidRDefault="007C6560" w:rsidP="007C6560">
      <w:pPr>
        <w:pStyle w:val="Textonotapie"/>
      </w:pPr>
      <w:r>
        <w:rPr>
          <w:rStyle w:val="Refdenotaalpie"/>
        </w:rPr>
        <w:footnoteRef/>
      </w:r>
      <w:r>
        <w:t xml:space="preserve"> Disponible para su consulta en: </w:t>
      </w:r>
      <w:hyperlink r:id="rId3" w:history="1">
        <w:r w:rsidRPr="00AB72EF">
          <w:rPr>
            <w:rStyle w:val="Hipervnculo"/>
          </w:rPr>
          <w:t>http://consultas.ifai.org.mx/descargar.php?r=./pdf/resoluciones/2014/&amp;a=RDA%202682.pdf</w:t>
        </w:r>
      </w:hyperlink>
      <w:r>
        <w:t xml:space="preserve"> </w:t>
      </w:r>
    </w:p>
    <w:p w:rsidR="007C6560" w:rsidRPr="007C6560" w:rsidRDefault="007C6560">
      <w:pPr>
        <w:pStyle w:val="Textonotapi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319E0"/>
    <w:multiLevelType w:val="hybridMultilevel"/>
    <w:tmpl w:val="9AD448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5E5317E"/>
    <w:multiLevelType w:val="hybridMultilevel"/>
    <w:tmpl w:val="F55EC4F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AB063EE"/>
    <w:multiLevelType w:val="hybridMultilevel"/>
    <w:tmpl w:val="D9D684CA"/>
    <w:lvl w:ilvl="0" w:tplc="C5943C7A">
      <w:start w:val="1"/>
      <w:numFmt w:val="decimal"/>
      <w:lvlText w:val="%1."/>
      <w:lvlJc w:val="left"/>
      <w:pPr>
        <w:ind w:left="720" w:hanging="360"/>
      </w:pPr>
      <w:rPr>
        <w:rFonts w:ascii="Verdana" w:eastAsia="Times New Roman" w:hAnsi="Verdana" w:cs="Times New Roman" w:hint="default"/>
        <w:b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C26568F"/>
    <w:multiLevelType w:val="hybridMultilevel"/>
    <w:tmpl w:val="DDE2C88A"/>
    <w:lvl w:ilvl="0" w:tplc="28861FB6">
      <w:start w:val="1"/>
      <w:numFmt w:val="bullet"/>
      <w:lvlText w:val=""/>
      <w:lvlJc w:val="left"/>
      <w:pPr>
        <w:ind w:left="720" w:hanging="360"/>
      </w:pPr>
      <w:rPr>
        <w:rFonts w:ascii="Wingdings" w:hAnsi="Wingdings" w:hint="default"/>
        <w:b/>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095775C"/>
    <w:multiLevelType w:val="hybridMultilevel"/>
    <w:tmpl w:val="9260FF0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E985509"/>
    <w:multiLevelType w:val="hybridMultilevel"/>
    <w:tmpl w:val="FA2288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98C181E"/>
    <w:multiLevelType w:val="hybridMultilevel"/>
    <w:tmpl w:val="C188F7D0"/>
    <w:lvl w:ilvl="0" w:tplc="28861FB6">
      <w:start w:val="1"/>
      <w:numFmt w:val="bullet"/>
      <w:lvlText w:val=""/>
      <w:lvlJc w:val="left"/>
      <w:pPr>
        <w:ind w:left="720" w:hanging="360"/>
      </w:pPr>
      <w:rPr>
        <w:rFonts w:ascii="Wingdings" w:hAnsi="Wingdings" w:hint="default"/>
        <w:b/>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7B01E6B"/>
    <w:multiLevelType w:val="hybridMultilevel"/>
    <w:tmpl w:val="ED986C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3"/>
  </w:num>
  <w:num w:numId="5">
    <w:abstractNumId w:val="6"/>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1FB"/>
    <w:rsid w:val="0001755E"/>
    <w:rsid w:val="00045CA0"/>
    <w:rsid w:val="000478B8"/>
    <w:rsid w:val="00056728"/>
    <w:rsid w:val="00080FED"/>
    <w:rsid w:val="000E1181"/>
    <w:rsid w:val="000F44FF"/>
    <w:rsid w:val="001C3072"/>
    <w:rsid w:val="001D5D79"/>
    <w:rsid w:val="001F1D8B"/>
    <w:rsid w:val="00251DD3"/>
    <w:rsid w:val="00255012"/>
    <w:rsid w:val="00276345"/>
    <w:rsid w:val="0031057B"/>
    <w:rsid w:val="0033112F"/>
    <w:rsid w:val="0033282F"/>
    <w:rsid w:val="003B5122"/>
    <w:rsid w:val="003F490F"/>
    <w:rsid w:val="004633C9"/>
    <w:rsid w:val="00481A71"/>
    <w:rsid w:val="004B612B"/>
    <w:rsid w:val="004E3DB1"/>
    <w:rsid w:val="00522F6E"/>
    <w:rsid w:val="0056276C"/>
    <w:rsid w:val="005941F2"/>
    <w:rsid w:val="005A5495"/>
    <w:rsid w:val="005E04AA"/>
    <w:rsid w:val="005E1C14"/>
    <w:rsid w:val="00696525"/>
    <w:rsid w:val="006D192B"/>
    <w:rsid w:val="006F3F37"/>
    <w:rsid w:val="00762DA9"/>
    <w:rsid w:val="00770C64"/>
    <w:rsid w:val="007C2827"/>
    <w:rsid w:val="007C6560"/>
    <w:rsid w:val="007F1FCF"/>
    <w:rsid w:val="008501FB"/>
    <w:rsid w:val="00882082"/>
    <w:rsid w:val="008E056E"/>
    <w:rsid w:val="00952DDF"/>
    <w:rsid w:val="00970F79"/>
    <w:rsid w:val="009760E6"/>
    <w:rsid w:val="00994D7E"/>
    <w:rsid w:val="00A44C87"/>
    <w:rsid w:val="00A51ACE"/>
    <w:rsid w:val="00A747EF"/>
    <w:rsid w:val="00A801E3"/>
    <w:rsid w:val="00AC7955"/>
    <w:rsid w:val="00B927E9"/>
    <w:rsid w:val="00BA0431"/>
    <w:rsid w:val="00BB2492"/>
    <w:rsid w:val="00C45CFF"/>
    <w:rsid w:val="00CA2D8A"/>
    <w:rsid w:val="00CB058C"/>
    <w:rsid w:val="00CB3B99"/>
    <w:rsid w:val="00CC24D9"/>
    <w:rsid w:val="00D209A3"/>
    <w:rsid w:val="00D736C0"/>
    <w:rsid w:val="00DE5191"/>
    <w:rsid w:val="00E01B26"/>
    <w:rsid w:val="00E131FB"/>
    <w:rsid w:val="00E2122B"/>
    <w:rsid w:val="00E23674"/>
    <w:rsid w:val="00EB01FF"/>
    <w:rsid w:val="00EB1AEF"/>
    <w:rsid w:val="00EF68A5"/>
    <w:rsid w:val="00F01BA3"/>
    <w:rsid w:val="00F30BA2"/>
    <w:rsid w:val="00F368BA"/>
    <w:rsid w:val="00F37EC6"/>
    <w:rsid w:val="00F617EE"/>
    <w:rsid w:val="00FA0B4D"/>
    <w:rsid w:val="00FD13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31FB"/>
    <w:pPr>
      <w:ind w:left="720"/>
      <w:contextualSpacing/>
    </w:pPr>
  </w:style>
  <w:style w:type="character" w:styleId="Ttulodellibro">
    <w:name w:val="Book Title"/>
    <w:basedOn w:val="Fuentedeprrafopredeter"/>
    <w:uiPriority w:val="33"/>
    <w:qFormat/>
    <w:rsid w:val="00AC7955"/>
    <w:rPr>
      <w:b/>
      <w:bCs/>
      <w:smallCaps/>
      <w:spacing w:val="5"/>
    </w:rPr>
  </w:style>
  <w:style w:type="paragraph" w:styleId="Textonotapie">
    <w:name w:val="footnote text"/>
    <w:basedOn w:val="Normal"/>
    <w:link w:val="TextonotapieCar"/>
    <w:uiPriority w:val="99"/>
    <w:semiHidden/>
    <w:unhideWhenUsed/>
    <w:rsid w:val="007C656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C6560"/>
    <w:rPr>
      <w:sz w:val="20"/>
      <w:szCs w:val="20"/>
    </w:rPr>
  </w:style>
  <w:style w:type="character" w:styleId="Refdenotaalpie">
    <w:name w:val="footnote reference"/>
    <w:basedOn w:val="Fuentedeprrafopredeter"/>
    <w:uiPriority w:val="99"/>
    <w:semiHidden/>
    <w:unhideWhenUsed/>
    <w:rsid w:val="007C6560"/>
    <w:rPr>
      <w:vertAlign w:val="superscript"/>
    </w:rPr>
  </w:style>
  <w:style w:type="character" w:styleId="Hipervnculo">
    <w:name w:val="Hyperlink"/>
    <w:basedOn w:val="Fuentedeprrafopredeter"/>
    <w:uiPriority w:val="99"/>
    <w:unhideWhenUsed/>
    <w:rsid w:val="007C6560"/>
    <w:rPr>
      <w:color w:val="0000FF" w:themeColor="hyperlink"/>
      <w:u w:val="single"/>
    </w:rPr>
  </w:style>
  <w:style w:type="character" w:styleId="Refdecomentario">
    <w:name w:val="annotation reference"/>
    <w:basedOn w:val="Fuentedeprrafopredeter"/>
    <w:uiPriority w:val="99"/>
    <w:semiHidden/>
    <w:unhideWhenUsed/>
    <w:rsid w:val="00952DDF"/>
    <w:rPr>
      <w:sz w:val="16"/>
      <w:szCs w:val="16"/>
    </w:rPr>
  </w:style>
  <w:style w:type="paragraph" w:styleId="Textocomentario">
    <w:name w:val="annotation text"/>
    <w:basedOn w:val="Normal"/>
    <w:link w:val="TextocomentarioCar"/>
    <w:uiPriority w:val="99"/>
    <w:semiHidden/>
    <w:unhideWhenUsed/>
    <w:rsid w:val="00952D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52DDF"/>
    <w:rPr>
      <w:sz w:val="20"/>
      <w:szCs w:val="20"/>
    </w:rPr>
  </w:style>
  <w:style w:type="paragraph" w:styleId="Asuntodelcomentario">
    <w:name w:val="annotation subject"/>
    <w:basedOn w:val="Textocomentario"/>
    <w:next w:val="Textocomentario"/>
    <w:link w:val="AsuntodelcomentarioCar"/>
    <w:uiPriority w:val="99"/>
    <w:semiHidden/>
    <w:unhideWhenUsed/>
    <w:rsid w:val="00952DDF"/>
    <w:rPr>
      <w:b/>
      <w:bCs/>
    </w:rPr>
  </w:style>
  <w:style w:type="character" w:customStyle="1" w:styleId="AsuntodelcomentarioCar">
    <w:name w:val="Asunto del comentario Car"/>
    <w:basedOn w:val="TextocomentarioCar"/>
    <w:link w:val="Asuntodelcomentario"/>
    <w:uiPriority w:val="99"/>
    <w:semiHidden/>
    <w:rsid w:val="00952DDF"/>
    <w:rPr>
      <w:b/>
      <w:bCs/>
      <w:sz w:val="20"/>
      <w:szCs w:val="20"/>
    </w:rPr>
  </w:style>
  <w:style w:type="paragraph" w:styleId="Textodeglobo">
    <w:name w:val="Balloon Text"/>
    <w:basedOn w:val="Normal"/>
    <w:link w:val="TextodegloboCar"/>
    <w:uiPriority w:val="99"/>
    <w:semiHidden/>
    <w:unhideWhenUsed/>
    <w:rsid w:val="00952DD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2D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31FB"/>
    <w:pPr>
      <w:ind w:left="720"/>
      <w:contextualSpacing/>
    </w:pPr>
  </w:style>
  <w:style w:type="character" w:styleId="Ttulodellibro">
    <w:name w:val="Book Title"/>
    <w:basedOn w:val="Fuentedeprrafopredeter"/>
    <w:uiPriority w:val="33"/>
    <w:qFormat/>
    <w:rsid w:val="00AC7955"/>
    <w:rPr>
      <w:b/>
      <w:bCs/>
      <w:smallCaps/>
      <w:spacing w:val="5"/>
    </w:rPr>
  </w:style>
  <w:style w:type="paragraph" w:styleId="Textonotapie">
    <w:name w:val="footnote text"/>
    <w:basedOn w:val="Normal"/>
    <w:link w:val="TextonotapieCar"/>
    <w:uiPriority w:val="99"/>
    <w:semiHidden/>
    <w:unhideWhenUsed/>
    <w:rsid w:val="007C656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C6560"/>
    <w:rPr>
      <w:sz w:val="20"/>
      <w:szCs w:val="20"/>
    </w:rPr>
  </w:style>
  <w:style w:type="character" w:styleId="Refdenotaalpie">
    <w:name w:val="footnote reference"/>
    <w:basedOn w:val="Fuentedeprrafopredeter"/>
    <w:uiPriority w:val="99"/>
    <w:semiHidden/>
    <w:unhideWhenUsed/>
    <w:rsid w:val="007C6560"/>
    <w:rPr>
      <w:vertAlign w:val="superscript"/>
    </w:rPr>
  </w:style>
  <w:style w:type="character" w:styleId="Hipervnculo">
    <w:name w:val="Hyperlink"/>
    <w:basedOn w:val="Fuentedeprrafopredeter"/>
    <w:uiPriority w:val="99"/>
    <w:unhideWhenUsed/>
    <w:rsid w:val="007C6560"/>
    <w:rPr>
      <w:color w:val="0000FF" w:themeColor="hyperlink"/>
      <w:u w:val="single"/>
    </w:rPr>
  </w:style>
  <w:style w:type="character" w:styleId="Refdecomentario">
    <w:name w:val="annotation reference"/>
    <w:basedOn w:val="Fuentedeprrafopredeter"/>
    <w:uiPriority w:val="99"/>
    <w:semiHidden/>
    <w:unhideWhenUsed/>
    <w:rsid w:val="00952DDF"/>
    <w:rPr>
      <w:sz w:val="16"/>
      <w:szCs w:val="16"/>
    </w:rPr>
  </w:style>
  <w:style w:type="paragraph" w:styleId="Textocomentario">
    <w:name w:val="annotation text"/>
    <w:basedOn w:val="Normal"/>
    <w:link w:val="TextocomentarioCar"/>
    <w:uiPriority w:val="99"/>
    <w:semiHidden/>
    <w:unhideWhenUsed/>
    <w:rsid w:val="00952D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52DDF"/>
    <w:rPr>
      <w:sz w:val="20"/>
      <w:szCs w:val="20"/>
    </w:rPr>
  </w:style>
  <w:style w:type="paragraph" w:styleId="Asuntodelcomentario">
    <w:name w:val="annotation subject"/>
    <w:basedOn w:val="Textocomentario"/>
    <w:next w:val="Textocomentario"/>
    <w:link w:val="AsuntodelcomentarioCar"/>
    <w:uiPriority w:val="99"/>
    <w:semiHidden/>
    <w:unhideWhenUsed/>
    <w:rsid w:val="00952DDF"/>
    <w:rPr>
      <w:b/>
      <w:bCs/>
    </w:rPr>
  </w:style>
  <w:style w:type="character" w:customStyle="1" w:styleId="AsuntodelcomentarioCar">
    <w:name w:val="Asunto del comentario Car"/>
    <w:basedOn w:val="TextocomentarioCar"/>
    <w:link w:val="Asuntodelcomentario"/>
    <w:uiPriority w:val="99"/>
    <w:semiHidden/>
    <w:rsid w:val="00952DDF"/>
    <w:rPr>
      <w:b/>
      <w:bCs/>
      <w:sz w:val="20"/>
      <w:szCs w:val="20"/>
    </w:rPr>
  </w:style>
  <w:style w:type="paragraph" w:styleId="Textodeglobo">
    <w:name w:val="Balloon Text"/>
    <w:basedOn w:val="Normal"/>
    <w:link w:val="TextodegloboCar"/>
    <w:uiPriority w:val="99"/>
    <w:semiHidden/>
    <w:unhideWhenUsed/>
    <w:rsid w:val="00952DD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2D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130363">
      <w:bodyDiv w:val="1"/>
      <w:marLeft w:val="0"/>
      <w:marRight w:val="0"/>
      <w:marTop w:val="0"/>
      <w:marBottom w:val="0"/>
      <w:divBdr>
        <w:top w:val="none" w:sz="0" w:space="0" w:color="auto"/>
        <w:left w:val="none" w:sz="0" w:space="0" w:color="auto"/>
        <w:bottom w:val="none" w:sz="0" w:space="0" w:color="auto"/>
        <w:right w:val="none" w:sz="0" w:space="0" w:color="auto"/>
      </w:divBdr>
      <w:divsChild>
        <w:div w:id="796990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179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consultas.ifai.org.mx/descargar.php?r=./pdf/resoluciones/2014/&amp;a=RDA%202682.pdf" TargetMode="External"/><Relationship Id="rId2" Type="http://schemas.openxmlformats.org/officeDocument/2006/relationships/hyperlink" Target="http://consultas.ifai.org.mx/descargar.php?r=./pdf/resoluciones/2014/&amp;a=RDA%204560.pdf" TargetMode="External"/><Relationship Id="rId1" Type="http://schemas.openxmlformats.org/officeDocument/2006/relationships/hyperlink" Target="http://consultas.ifai.org.mx/descargar.php?r=./pdf/resoluciones/2014/&amp;a=RDA%204559.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CE2A61A9D1E54E9FFF80C354E949D4" ma:contentTypeVersion="6" ma:contentTypeDescription="Create a new document." ma:contentTypeScope="" ma:versionID="b551cfeab05a019097c00346eae81b67">
  <xsd:schema xmlns:xsd="http://www.w3.org/2001/XMLSchema" xmlns:xs="http://www.w3.org/2001/XMLSchema" xmlns:p="http://schemas.microsoft.com/office/2006/metadata/properties" xmlns:ns2="f4d36732-e6c1-4d35-a74a-a5258d763a75" targetNamespace="http://schemas.microsoft.com/office/2006/metadata/properties" ma:root="true" ma:fieldsID="96e7a8b605aeb15be3372f65cf050699" ns2:_="">
    <xsd:import namespace="f4d36732-e6c1-4d35-a74a-a5258d763a75"/>
    <xsd:element name="properties">
      <xsd:complexType>
        <xsd:sequence>
          <xsd:element name="documentManagement">
            <xsd:complexType>
              <xsd:all>
                <xsd:element ref="ns2:TaxCatchAll"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36732-e6c1-4d35-a74a-a5258d763a75"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6c12cb8-ea0a-4be7-97ef-6175d20ab09a}" ma:internalName="TaxCatchAll" ma:showField="CatchAllData" ma:web="f4d36732-e6c1-4d35-a74a-a5258d763a75">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readOnly="false" ma:fieldId="{23f27201-bee3-471e-b2e7-b64fd8b7ca38}" ma:taxonomyMulti="true" ma:sspId="e0f18e3d-76e0-4c60-8d9f-4e08cdb8b95b"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f4d36732-e6c1-4d35-a74a-a5258d763a75">
      <Terms xmlns="http://schemas.microsoft.com/office/infopath/2007/PartnerControls"/>
    </TaxKeywordTaxHTField>
    <TaxCatchAll xmlns="f4d36732-e6c1-4d35-a74a-a5258d763a75"/>
  </documentManagement>
</p:properties>
</file>

<file path=customXml/itemProps1.xml><?xml version="1.0" encoding="utf-8"?>
<ds:datastoreItem xmlns:ds="http://schemas.openxmlformats.org/officeDocument/2006/customXml" ds:itemID="{2331985C-0CC4-4066-902D-B20A2C1BF1EC}"/>
</file>

<file path=customXml/itemProps2.xml><?xml version="1.0" encoding="utf-8"?>
<ds:datastoreItem xmlns:ds="http://schemas.openxmlformats.org/officeDocument/2006/customXml" ds:itemID="{8EB75570-1F17-4CA5-8C4E-467BE501E180}"/>
</file>

<file path=customXml/itemProps3.xml><?xml version="1.0" encoding="utf-8"?>
<ds:datastoreItem xmlns:ds="http://schemas.openxmlformats.org/officeDocument/2006/customXml" ds:itemID="{56B8A159-EE45-4871-AFA3-2BDE0078E301}"/>
</file>

<file path=customXml/itemProps4.xml><?xml version="1.0" encoding="utf-8"?>
<ds:datastoreItem xmlns:ds="http://schemas.openxmlformats.org/officeDocument/2006/customXml" ds:itemID="{60E653F2-A808-4B73-B72F-E02C6AE8269A}"/>
</file>

<file path=docProps/app.xml><?xml version="1.0" encoding="utf-8"?>
<Properties xmlns="http://schemas.openxmlformats.org/officeDocument/2006/extended-properties" xmlns:vt="http://schemas.openxmlformats.org/officeDocument/2006/docPropsVTypes">
  <Template>Normal</Template>
  <TotalTime>1</TotalTime>
  <Pages>5</Pages>
  <Words>1706</Words>
  <Characters>9386</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ifai</Company>
  <LinksUpToDate>false</LinksUpToDate>
  <CharactersWithSpaces>11070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De la Paz-Pérez Farca</dc:creator>
  <cp:lastModifiedBy>Sergio Hernández Ramírez</cp:lastModifiedBy>
  <cp:revision>2</cp:revision>
  <cp:lastPrinted>2015-03-17T16:28:00Z</cp:lastPrinted>
  <dcterms:created xsi:type="dcterms:W3CDTF">2015-04-17T19:40:00Z</dcterms:created>
  <dcterms:modified xsi:type="dcterms:W3CDTF">2015-04-17T19:40:00Z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0x0101005DCE2A61A9D1E54E9FFF80C354E949D4</vt:lpwstr>
  </property>
</Properties>
</file>