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3"/>
        <w:tblW w:w="99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129"/>
      </w:tblGrid>
      <w:tr w:rsidR="00AB43B2" w:rsidTr="00C8152A">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AB43B2" w:rsidRPr="00FA78BA" w:rsidRDefault="00AB43B2">
            <w:pPr>
              <w:rPr>
                <w:rFonts w:ascii="Arial Narrow" w:hAnsi="Arial Narrow"/>
              </w:rPr>
            </w:pPr>
            <w:bookmarkStart w:id="0" w:name="_GoBack"/>
            <w:bookmarkEnd w:id="0"/>
            <w:r w:rsidRPr="00FA78BA">
              <w:rPr>
                <w:rFonts w:ascii="Arial Narrow" w:hAnsi="Arial Narrow"/>
              </w:rPr>
              <w:t xml:space="preserve">FICHA TECNICA </w:t>
            </w:r>
          </w:p>
        </w:tc>
      </w:tr>
      <w:tr w:rsidR="00AB43B2" w:rsidTr="00C8152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AB43B2" w:rsidRPr="00FA78BA" w:rsidRDefault="00AB43B2">
            <w:pPr>
              <w:rPr>
                <w:rFonts w:ascii="Arial Narrow" w:hAnsi="Arial Narrow"/>
              </w:rPr>
            </w:pPr>
            <w:r w:rsidRPr="00FA78BA">
              <w:rPr>
                <w:rFonts w:ascii="Arial Narrow" w:hAnsi="Arial Narrow"/>
              </w:rPr>
              <w:t>CORTE O TRIBUNAL</w:t>
            </w:r>
          </w:p>
        </w:tc>
        <w:tc>
          <w:tcPr>
            <w:tcW w:w="7129" w:type="dxa"/>
            <w:tcBorders>
              <w:top w:val="single" w:sz="4" w:space="0" w:color="auto"/>
              <w:left w:val="single" w:sz="4" w:space="0" w:color="auto"/>
              <w:bottom w:val="single" w:sz="4" w:space="0" w:color="auto"/>
              <w:right w:val="single" w:sz="4" w:space="0" w:color="auto"/>
            </w:tcBorders>
          </w:tcPr>
          <w:p w:rsidR="00AB43B2" w:rsidRPr="00FA78BA" w:rsidRDefault="00AB43B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A78BA">
              <w:rPr>
                <w:rFonts w:ascii="Arial Narrow" w:hAnsi="Arial Narrow"/>
              </w:rPr>
              <w:t>CORTE CONSTITUCIONAL</w:t>
            </w:r>
          </w:p>
        </w:tc>
      </w:tr>
      <w:tr w:rsidR="00AB43B2" w:rsidTr="00C8152A">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AB43B2" w:rsidRPr="00FA78BA" w:rsidRDefault="00AB43B2">
            <w:pPr>
              <w:rPr>
                <w:rFonts w:ascii="Arial Narrow" w:hAnsi="Arial Narrow"/>
              </w:rPr>
            </w:pPr>
            <w:r w:rsidRPr="00FA78BA">
              <w:rPr>
                <w:rFonts w:ascii="Arial Narrow" w:hAnsi="Arial Narrow"/>
              </w:rPr>
              <w:t>SENTENCIA</w:t>
            </w:r>
          </w:p>
        </w:tc>
        <w:tc>
          <w:tcPr>
            <w:tcW w:w="7129" w:type="dxa"/>
            <w:tcBorders>
              <w:top w:val="single" w:sz="4" w:space="0" w:color="auto"/>
              <w:left w:val="single" w:sz="4" w:space="0" w:color="auto"/>
              <w:bottom w:val="single" w:sz="4" w:space="0" w:color="auto"/>
              <w:right w:val="single" w:sz="4" w:space="0" w:color="auto"/>
            </w:tcBorders>
          </w:tcPr>
          <w:p w:rsidR="00AB43B2" w:rsidRPr="00FA78BA" w:rsidRDefault="00AB43B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A78BA">
              <w:rPr>
                <w:rFonts w:ascii="Arial Narrow" w:hAnsi="Arial Narrow"/>
              </w:rPr>
              <w:t>C 274- 2013</w:t>
            </w:r>
          </w:p>
        </w:tc>
      </w:tr>
      <w:tr w:rsidR="00AB43B2" w:rsidTr="00C8152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AB43B2" w:rsidRPr="00FA78BA" w:rsidRDefault="00AB43B2">
            <w:pPr>
              <w:rPr>
                <w:rFonts w:ascii="Arial Narrow" w:hAnsi="Arial Narrow"/>
              </w:rPr>
            </w:pPr>
            <w:r w:rsidRPr="00FA78BA">
              <w:rPr>
                <w:rFonts w:ascii="Arial Narrow" w:hAnsi="Arial Narrow"/>
              </w:rPr>
              <w:t>FECHA</w:t>
            </w:r>
          </w:p>
        </w:tc>
        <w:tc>
          <w:tcPr>
            <w:tcW w:w="7129" w:type="dxa"/>
            <w:tcBorders>
              <w:top w:val="single" w:sz="4" w:space="0" w:color="auto"/>
              <w:left w:val="single" w:sz="4" w:space="0" w:color="auto"/>
              <w:bottom w:val="single" w:sz="4" w:space="0" w:color="auto"/>
              <w:right w:val="single" w:sz="4" w:space="0" w:color="auto"/>
            </w:tcBorders>
          </w:tcPr>
          <w:p w:rsidR="00AB43B2" w:rsidRPr="00FA78BA" w:rsidRDefault="00AB43B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A78BA">
              <w:rPr>
                <w:rFonts w:ascii="Arial Narrow" w:hAnsi="Arial Narrow"/>
              </w:rPr>
              <w:t>09 DE MAYO DE 2013</w:t>
            </w:r>
          </w:p>
        </w:tc>
      </w:tr>
      <w:tr w:rsidR="003E5602" w:rsidTr="00C8152A">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3E5602" w:rsidRPr="00FA78BA" w:rsidRDefault="003E5602">
            <w:pPr>
              <w:rPr>
                <w:rFonts w:ascii="Arial Narrow" w:hAnsi="Arial Narrow"/>
              </w:rPr>
            </w:pPr>
            <w:r w:rsidRPr="00FA78BA">
              <w:rPr>
                <w:rFonts w:ascii="Arial Narrow" w:hAnsi="Arial Narrow"/>
              </w:rPr>
              <w:t>TEMÁTICA</w:t>
            </w:r>
          </w:p>
        </w:tc>
        <w:tc>
          <w:tcPr>
            <w:tcW w:w="7129" w:type="dxa"/>
            <w:tcBorders>
              <w:top w:val="single" w:sz="4" w:space="0" w:color="auto"/>
              <w:left w:val="single" w:sz="4" w:space="0" w:color="auto"/>
              <w:bottom w:val="single" w:sz="4" w:space="0" w:color="auto"/>
              <w:right w:val="single" w:sz="4" w:space="0" w:color="auto"/>
            </w:tcBorders>
          </w:tcPr>
          <w:p w:rsidR="003E5602" w:rsidRPr="00FA78BA" w:rsidRDefault="003E5602" w:rsidP="00C8152A">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A78BA">
              <w:rPr>
                <w:rFonts w:ascii="Arial Narrow" w:hAnsi="Arial Narrow"/>
              </w:rPr>
              <w:t>Examen de constitucionalidad de los proyectos de ley estatutaria, tanto por su contenido material como por vicios de procedimiento en su formación. En consecuencia, este tribunal es competente para decidir sobre el proyecto de ley de la referencia.</w:t>
            </w:r>
          </w:p>
        </w:tc>
      </w:tr>
      <w:tr w:rsidR="00AB43B2" w:rsidTr="00C8152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AB43B2" w:rsidRPr="00FA78BA" w:rsidRDefault="00AB43B2">
            <w:pPr>
              <w:rPr>
                <w:rFonts w:ascii="Arial Narrow" w:hAnsi="Arial Narrow"/>
              </w:rPr>
            </w:pPr>
            <w:r w:rsidRPr="00FA78BA">
              <w:rPr>
                <w:rFonts w:ascii="Arial Narrow" w:hAnsi="Arial Narrow"/>
              </w:rPr>
              <w:t>PROBLEMA JURÍDICO</w:t>
            </w:r>
          </w:p>
        </w:tc>
      </w:tr>
      <w:tr w:rsidR="00AB43B2" w:rsidTr="00C8152A">
        <w:trPr>
          <w:trHeight w:val="1043"/>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AB43B2" w:rsidRPr="00FA78BA" w:rsidRDefault="003E5602" w:rsidP="00C8152A">
            <w:pPr>
              <w:jc w:val="both"/>
              <w:rPr>
                <w:rFonts w:ascii="Arial Narrow" w:hAnsi="Arial Narrow"/>
                <w:b w:val="0"/>
              </w:rPr>
            </w:pPr>
            <w:r w:rsidRPr="00FA78BA">
              <w:rPr>
                <w:rFonts w:ascii="Arial Narrow" w:hAnsi="Arial Narrow"/>
                <w:b w:val="0"/>
                <w:caps w:val="0"/>
              </w:rPr>
              <w:t>De conformidad con lo previsto en los artícu</w:t>
            </w:r>
            <w:r w:rsidR="00C8152A" w:rsidRPr="00FA78BA">
              <w:rPr>
                <w:rFonts w:ascii="Arial Narrow" w:hAnsi="Arial Narrow"/>
                <w:b w:val="0"/>
                <w:caps w:val="0"/>
              </w:rPr>
              <w:t>los 153 y 241 numeral 8° de la C</w:t>
            </w:r>
            <w:r w:rsidRPr="00FA78BA">
              <w:rPr>
                <w:rFonts w:ascii="Arial Narrow" w:hAnsi="Arial Narrow"/>
                <w:b w:val="0"/>
                <w:caps w:val="0"/>
              </w:rPr>
              <w:t xml:space="preserve">onstitución </w:t>
            </w:r>
            <w:r w:rsidR="00C8152A" w:rsidRPr="00FA78BA">
              <w:rPr>
                <w:rFonts w:ascii="Arial Narrow" w:hAnsi="Arial Narrow"/>
                <w:b w:val="0"/>
                <w:caps w:val="0"/>
              </w:rPr>
              <w:t xml:space="preserve">Política, correspondió a la Corte Constitucional </w:t>
            </w:r>
            <w:r w:rsidRPr="00FA78BA">
              <w:rPr>
                <w:rFonts w:ascii="Arial Narrow" w:hAnsi="Arial Narrow"/>
                <w:b w:val="0"/>
                <w:caps w:val="0"/>
              </w:rPr>
              <w:t>el exa</w:t>
            </w:r>
            <w:r w:rsidR="00C8152A" w:rsidRPr="00FA78BA">
              <w:rPr>
                <w:rFonts w:ascii="Arial Narrow" w:hAnsi="Arial Narrow"/>
                <w:b w:val="0"/>
                <w:caps w:val="0"/>
              </w:rPr>
              <w:t xml:space="preserve">men de constitucionalidad del proyecto </w:t>
            </w:r>
            <w:r w:rsidRPr="00FA78BA">
              <w:rPr>
                <w:rFonts w:ascii="Arial Narrow" w:hAnsi="Arial Narrow"/>
                <w:b w:val="0"/>
                <w:caps w:val="0"/>
              </w:rPr>
              <w:t xml:space="preserve">de ley estatutaria, </w:t>
            </w:r>
            <w:r w:rsidRPr="00FA78BA">
              <w:rPr>
                <w:rFonts w:ascii="Arial Narrow" w:hAnsi="Arial Narrow"/>
                <w:b w:val="0"/>
                <w:iCs/>
                <w:caps w:val="0"/>
              </w:rPr>
              <w:t>por medio del cual se crea la ley de transparencia y del derecho de acceso a la información pública nacional.</w:t>
            </w:r>
          </w:p>
        </w:tc>
      </w:tr>
      <w:tr w:rsidR="00AB43B2" w:rsidTr="00C8152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AB43B2" w:rsidRPr="00FA78BA" w:rsidRDefault="00AB43B2">
            <w:pPr>
              <w:rPr>
                <w:rFonts w:ascii="Arial Narrow" w:hAnsi="Arial Narrow"/>
              </w:rPr>
            </w:pPr>
            <w:r w:rsidRPr="00FA78BA">
              <w:rPr>
                <w:rFonts w:ascii="Arial Narrow" w:hAnsi="Arial Narrow"/>
              </w:rPr>
              <w:t xml:space="preserve">RESUMEN DE LA SENTENCIA </w:t>
            </w:r>
          </w:p>
        </w:tc>
      </w:tr>
      <w:tr w:rsidR="00AB43B2" w:rsidRPr="003E5602" w:rsidTr="00C8152A">
        <w:trPr>
          <w:trHeight w:val="915"/>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AB43B2" w:rsidRPr="00FA78BA" w:rsidRDefault="003E5602" w:rsidP="00951D7A">
            <w:pPr>
              <w:rPr>
                <w:rFonts w:ascii="Arial Narrow" w:hAnsi="Arial Narrow"/>
                <w:b w:val="0"/>
                <w:caps w:val="0"/>
              </w:rPr>
            </w:pPr>
            <w:r w:rsidRPr="00FA78BA">
              <w:rPr>
                <w:rFonts w:ascii="Arial Narrow" w:hAnsi="Arial Narrow"/>
                <w:b w:val="0"/>
                <w:caps w:val="0"/>
              </w:rPr>
              <w:t xml:space="preserve">La </w:t>
            </w:r>
            <w:r w:rsidR="00C8152A" w:rsidRPr="00FA78BA">
              <w:rPr>
                <w:rFonts w:ascii="Arial Narrow" w:hAnsi="Arial Narrow"/>
                <w:b w:val="0"/>
                <w:caps w:val="0"/>
              </w:rPr>
              <w:t>Corte Co</w:t>
            </w:r>
            <w:r w:rsidRPr="00FA78BA">
              <w:rPr>
                <w:rFonts w:ascii="Arial Narrow" w:hAnsi="Arial Narrow"/>
                <w:b w:val="0"/>
                <w:caps w:val="0"/>
              </w:rPr>
              <w:t>nstitucional en las facultades otorgadas por mandato constitucional procedió a realizar el análisis</w:t>
            </w:r>
            <w:r w:rsidR="00AB43B2" w:rsidRPr="00FA78BA">
              <w:rPr>
                <w:rFonts w:ascii="Arial Narrow" w:hAnsi="Arial Narrow"/>
                <w:b w:val="0"/>
              </w:rPr>
              <w:t xml:space="preserve"> </w:t>
            </w:r>
            <w:r w:rsidRPr="00FA78BA">
              <w:rPr>
                <w:rFonts w:ascii="Arial Narrow" w:hAnsi="Arial Narrow"/>
                <w:b w:val="0"/>
                <w:caps w:val="0"/>
              </w:rPr>
              <w:t xml:space="preserve">de constitucionalidad de del proyecto de ley por </w:t>
            </w:r>
            <w:r w:rsidRPr="00FA78BA">
              <w:rPr>
                <w:rFonts w:ascii="Arial Narrow" w:hAnsi="Arial Narrow"/>
                <w:b w:val="0"/>
                <w:iCs/>
                <w:caps w:val="0"/>
              </w:rPr>
              <w:t>medio del cual se crea la ley de transparencia y del derecho de acceso a la información pública nacional.</w:t>
            </w:r>
            <w:r w:rsidR="00C8152A" w:rsidRPr="00FA78BA">
              <w:rPr>
                <w:rFonts w:ascii="Arial Narrow" w:hAnsi="Arial Narrow"/>
                <w:b w:val="0"/>
                <w:iCs/>
                <w:caps w:val="0"/>
              </w:rPr>
              <w:t xml:space="preserve"> </w:t>
            </w:r>
            <w:r w:rsidR="00C8152A" w:rsidRPr="00FA78BA">
              <w:rPr>
                <w:rFonts w:ascii="Arial Narrow" w:hAnsi="Arial Narrow"/>
                <w:b w:val="0"/>
                <w:iCs/>
                <w:caps w:val="0"/>
              </w:rPr>
              <w:br/>
            </w:r>
            <w:r w:rsidR="00C8152A" w:rsidRPr="00FA78BA">
              <w:rPr>
                <w:rFonts w:ascii="Arial Narrow" w:hAnsi="Arial Narrow"/>
                <w:b w:val="0"/>
                <w:iCs/>
                <w:caps w:val="0"/>
              </w:rPr>
              <w:br/>
            </w:r>
            <w:r w:rsidR="00951D7A" w:rsidRPr="00FA78BA">
              <w:rPr>
                <w:rFonts w:ascii="Arial Narrow" w:hAnsi="Arial Narrow"/>
                <w:b w:val="0"/>
                <w:caps w:val="0"/>
              </w:rPr>
              <w:t>La sentencia realiza un análisis formal del proyecto de ley, esto es, el análisis de constitucionalidad del trámite legislativo del proyecto de la ley estatutaria objeto de revisión. Por otro lado, la Corte dio análisis material del proyecto de ley estatutaria. Frente a esto la Corte indicó  que “El proyecto que se analiza reglamenta el derecho fundamental de acceso a la información pública y mediante él, el legislador configuró el contenido, el alcance y los límites de este derecho fundamental y estableció criterios para resolver posibles colisiones con otros derechos, deberes e intereses públicos importantes o imperiosos.”</w:t>
            </w:r>
          </w:p>
          <w:p w:rsidR="00951D7A" w:rsidRPr="00FA78BA" w:rsidRDefault="00951D7A" w:rsidP="00951D7A">
            <w:pPr>
              <w:rPr>
                <w:rFonts w:ascii="Arial Narrow" w:hAnsi="Arial Narrow"/>
                <w:b w:val="0"/>
                <w:caps w:val="0"/>
              </w:rPr>
            </w:pPr>
          </w:p>
          <w:p w:rsidR="00951D7A" w:rsidRPr="00FA78BA" w:rsidRDefault="00951D7A" w:rsidP="00951D7A">
            <w:pPr>
              <w:rPr>
                <w:rFonts w:ascii="Arial Narrow" w:hAnsi="Arial Narrow"/>
                <w:b w:val="0"/>
                <w:caps w:val="0"/>
              </w:rPr>
            </w:pPr>
            <w:r w:rsidRPr="00FA78BA">
              <w:rPr>
                <w:rFonts w:ascii="Arial Narrow" w:hAnsi="Arial Narrow"/>
                <w:b w:val="0"/>
                <w:caps w:val="0"/>
              </w:rPr>
              <w:t>Dentro del análisis material la Corte Constitucional tuvo en consideración los siguientes puntos:</w:t>
            </w:r>
          </w:p>
          <w:p w:rsidR="00951D7A" w:rsidRPr="00FA78BA" w:rsidRDefault="00951D7A" w:rsidP="00951D7A">
            <w:pPr>
              <w:pStyle w:val="Prrafodelista"/>
              <w:numPr>
                <w:ilvl w:val="0"/>
                <w:numId w:val="3"/>
              </w:numPr>
              <w:rPr>
                <w:rFonts w:ascii="Arial Narrow" w:hAnsi="Arial Narrow"/>
                <w:b w:val="0"/>
              </w:rPr>
            </w:pPr>
            <w:r w:rsidRPr="00FA78BA">
              <w:rPr>
                <w:rFonts w:ascii="Arial Narrow" w:hAnsi="Arial Narrow"/>
                <w:b w:val="0"/>
                <w:caps w:val="0"/>
              </w:rPr>
              <w:t xml:space="preserve">El fundamento constitucional del derecho al acceso a la información consagrado en el artículo 74 de la constitución política de Colombia. </w:t>
            </w:r>
          </w:p>
          <w:p w:rsidR="00951D7A" w:rsidRPr="00FA78BA" w:rsidRDefault="00951D7A" w:rsidP="00951D7A">
            <w:pPr>
              <w:pStyle w:val="Prrafodelista"/>
              <w:numPr>
                <w:ilvl w:val="0"/>
                <w:numId w:val="3"/>
              </w:numPr>
              <w:rPr>
                <w:rFonts w:ascii="Arial Narrow" w:hAnsi="Arial Narrow"/>
                <w:b w:val="0"/>
              </w:rPr>
            </w:pPr>
            <w:r w:rsidRPr="00FA78BA">
              <w:rPr>
                <w:rFonts w:ascii="Arial Narrow" w:hAnsi="Arial Narrow"/>
                <w:b w:val="0"/>
                <w:caps w:val="0"/>
              </w:rPr>
              <w:t>Función del Derecho al Acceso a la Información</w:t>
            </w:r>
          </w:p>
          <w:p w:rsidR="00951D7A" w:rsidRPr="00FA78BA" w:rsidRDefault="00951D7A" w:rsidP="00951D7A">
            <w:pPr>
              <w:pStyle w:val="Prrafodelista"/>
              <w:numPr>
                <w:ilvl w:val="0"/>
                <w:numId w:val="3"/>
              </w:numPr>
              <w:rPr>
                <w:rFonts w:ascii="Arial Narrow" w:hAnsi="Arial Narrow"/>
                <w:b w:val="0"/>
              </w:rPr>
            </w:pPr>
            <w:r w:rsidRPr="00FA78BA">
              <w:rPr>
                <w:rFonts w:ascii="Arial Narrow" w:hAnsi="Arial Narrow"/>
                <w:b w:val="0"/>
                <w:caps w:val="0"/>
              </w:rPr>
              <w:t>Los deberes de las autoridades respecto del Derecho al Acceso a la Información Pública.</w:t>
            </w:r>
          </w:p>
          <w:p w:rsidR="00951D7A" w:rsidRPr="00FA78BA" w:rsidRDefault="00951D7A" w:rsidP="00951D7A">
            <w:pPr>
              <w:pStyle w:val="Prrafodelista"/>
              <w:numPr>
                <w:ilvl w:val="0"/>
                <w:numId w:val="3"/>
              </w:numPr>
              <w:rPr>
                <w:rFonts w:ascii="Arial Narrow" w:hAnsi="Arial Narrow"/>
                <w:b w:val="0"/>
              </w:rPr>
            </w:pPr>
            <w:r w:rsidRPr="00FA78BA">
              <w:rPr>
                <w:rFonts w:ascii="Arial Narrow" w:hAnsi="Arial Narrow"/>
                <w:b w:val="0"/>
                <w:caps w:val="0"/>
              </w:rPr>
              <w:t>Las reglas jurisprudenciales que definen el alcance del Derecho al Acceso a la Información.</w:t>
            </w:r>
          </w:p>
          <w:p w:rsidR="00FA78BA" w:rsidRPr="00FA78BA" w:rsidRDefault="00FA78BA" w:rsidP="00FA78BA">
            <w:pPr>
              <w:pStyle w:val="Prrafodelista"/>
              <w:numPr>
                <w:ilvl w:val="0"/>
                <w:numId w:val="3"/>
              </w:numPr>
              <w:rPr>
                <w:rFonts w:ascii="Arial Narrow" w:hAnsi="Arial Narrow"/>
                <w:b w:val="0"/>
              </w:rPr>
            </w:pPr>
            <w:r w:rsidRPr="00FA78BA">
              <w:rPr>
                <w:rFonts w:ascii="Arial Narrow" w:hAnsi="Arial Narrow"/>
                <w:b w:val="0"/>
                <w:caps w:val="0"/>
              </w:rPr>
              <w:t xml:space="preserve">El análisis de los instrumentos internacionales que reconocen el Derecho al Acceso a la Información Pública. </w:t>
            </w:r>
          </w:p>
          <w:p w:rsidR="00FA78BA" w:rsidRPr="00FA78BA" w:rsidRDefault="00FA78BA" w:rsidP="00FA78BA">
            <w:pPr>
              <w:pStyle w:val="Prrafodelista"/>
              <w:rPr>
                <w:rFonts w:ascii="Arial Narrow" w:hAnsi="Arial Narrow"/>
                <w:b w:val="0"/>
              </w:rPr>
            </w:pPr>
          </w:p>
          <w:p w:rsidR="00FA78BA" w:rsidRPr="00FA78BA" w:rsidRDefault="00FA78BA" w:rsidP="00FA78BA">
            <w:pPr>
              <w:rPr>
                <w:rFonts w:ascii="Arial Narrow" w:hAnsi="Arial Narrow"/>
                <w:b w:val="0"/>
                <w:caps w:val="0"/>
              </w:rPr>
            </w:pPr>
            <w:r w:rsidRPr="00FA78BA">
              <w:rPr>
                <w:rFonts w:ascii="Arial Narrow" w:hAnsi="Arial Narrow"/>
                <w:b w:val="0"/>
                <w:caps w:val="0"/>
              </w:rPr>
              <w:t xml:space="preserve">De manera final la Corte Constitucional, realiza el examen puntual del articulado del Proyecto de Ley Estatuaria que reglamenta el derecho fundamental de acceso a la información pública. </w:t>
            </w:r>
          </w:p>
        </w:tc>
      </w:tr>
      <w:tr w:rsidR="00FA78BA" w:rsidRPr="003E5602" w:rsidTr="00FA78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FA78BA" w:rsidRPr="00FA78BA" w:rsidRDefault="00FA78BA" w:rsidP="00951D7A">
            <w:pPr>
              <w:rPr>
                <w:rFonts w:ascii="Arial Narrow" w:hAnsi="Arial Narrow"/>
                <w:caps w:val="0"/>
              </w:rPr>
            </w:pPr>
            <w:r w:rsidRPr="00FA78BA">
              <w:rPr>
                <w:rFonts w:ascii="Arial Narrow" w:hAnsi="Arial Narrow"/>
                <w:caps w:val="0"/>
              </w:rPr>
              <w:t>RESUELVE</w:t>
            </w:r>
          </w:p>
        </w:tc>
      </w:tr>
      <w:tr w:rsidR="00FA78BA" w:rsidRPr="003E5602" w:rsidTr="00FA78BA">
        <w:trPr>
          <w:trHeight w:val="423"/>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FA78BA" w:rsidRPr="00FA78BA" w:rsidRDefault="00FA78BA" w:rsidP="00FA78BA">
            <w:pPr>
              <w:rPr>
                <w:rFonts w:ascii="Arial Narrow" w:hAnsi="Arial Narrow"/>
                <w:b w:val="0"/>
                <w:caps w:val="0"/>
              </w:rPr>
            </w:pPr>
            <w:r w:rsidRPr="00FA78BA">
              <w:rPr>
                <w:rFonts w:ascii="Arial Narrow" w:hAnsi="Arial Narrow"/>
                <w:b w:val="0"/>
                <w:caps w:val="0"/>
              </w:rPr>
              <w:t xml:space="preserve">La Corte Constitucional declaró exequible el proyecto de Ley Estatutaria por medio de la cual se </w:t>
            </w:r>
            <w:r w:rsidRPr="00FA78BA">
              <w:rPr>
                <w:rFonts w:ascii="Arial Narrow" w:hAnsi="Arial Narrow"/>
                <w:b w:val="0"/>
                <w:iCs/>
                <w:caps w:val="0"/>
                <w:lang w:val="es-ES_tradnl"/>
              </w:rPr>
              <w:t xml:space="preserve">por medio de la cual se </w:t>
            </w:r>
            <w:r w:rsidRPr="00FA78BA">
              <w:rPr>
                <w:rFonts w:ascii="Arial Narrow" w:hAnsi="Arial Narrow"/>
                <w:b w:val="0"/>
                <w:iCs/>
                <w:caps w:val="0"/>
                <w:color w:val="000000" w:themeColor="text1"/>
                <w:lang w:val="es-ES_tradnl"/>
              </w:rPr>
              <w:t xml:space="preserve">crea la ley de transparencia y del derecho de acceso a la información pública nacional y se dictan otras disposiciones. Este examen de constitucionalidad conllevó a la promulgación de la Ley 1712 de 2014, </w:t>
            </w:r>
            <w:r w:rsidRPr="00FA78BA">
              <w:rPr>
                <w:rFonts w:ascii="Arial Narrow" w:hAnsi="Arial Narrow" w:cs="Arial"/>
                <w:b w:val="0"/>
                <w:caps w:val="0"/>
                <w:color w:val="000000" w:themeColor="text1"/>
              </w:rPr>
              <w:t>por medio de la cual se crea la ley de transparencia y del derecho de acceso a la información pública nacional y se dictan otras disposiciones,</w:t>
            </w:r>
            <w:r w:rsidRPr="00FA78BA">
              <w:rPr>
                <w:rFonts w:ascii="Arial Narrow" w:hAnsi="Arial Narrow"/>
                <w:b w:val="0"/>
                <w:iCs/>
                <w:caps w:val="0"/>
                <w:color w:val="000000" w:themeColor="text1"/>
                <w:lang w:val="es-ES_tradnl"/>
              </w:rPr>
              <w:t xml:space="preserve"> la cual entró en vigencia el día 6 de marzo de 2015. </w:t>
            </w:r>
          </w:p>
        </w:tc>
      </w:tr>
    </w:tbl>
    <w:p w:rsidR="00744032" w:rsidRDefault="00744032"/>
    <w:p w:rsidR="003013B5" w:rsidRDefault="003013B5"/>
    <w:p w:rsidR="003013B5" w:rsidRDefault="003013B5"/>
    <w:p w:rsidR="003013B5" w:rsidRDefault="003013B5"/>
    <w:p w:rsidR="003013B5" w:rsidRDefault="003013B5"/>
    <w:tbl>
      <w:tblPr>
        <w:tblStyle w:val="Tablanormal3"/>
        <w:tblW w:w="99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129"/>
      </w:tblGrid>
      <w:tr w:rsidR="003013B5" w:rsidTr="00C00148">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3013B5" w:rsidRPr="00C01FC1" w:rsidRDefault="003013B5" w:rsidP="00C00148">
            <w:pPr>
              <w:rPr>
                <w:rFonts w:ascii="Arial Narrow" w:hAnsi="Arial Narrow" w:cs="Arial"/>
              </w:rPr>
            </w:pPr>
            <w:r w:rsidRPr="00C01FC1">
              <w:rPr>
                <w:rFonts w:ascii="Arial Narrow" w:hAnsi="Arial Narrow" w:cs="Arial"/>
              </w:rPr>
              <w:lastRenderedPageBreak/>
              <w:t xml:space="preserve">FICHA TECNICA </w:t>
            </w:r>
          </w:p>
        </w:tc>
      </w:tr>
      <w:tr w:rsidR="003013B5" w:rsidTr="00C0014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3013B5" w:rsidRPr="00C01FC1" w:rsidRDefault="003013B5" w:rsidP="00C00148">
            <w:pPr>
              <w:rPr>
                <w:rFonts w:ascii="Arial Narrow" w:hAnsi="Arial Narrow" w:cs="Arial"/>
              </w:rPr>
            </w:pPr>
            <w:r w:rsidRPr="00C01FC1">
              <w:rPr>
                <w:rFonts w:ascii="Arial Narrow" w:hAnsi="Arial Narrow" w:cs="Arial"/>
              </w:rPr>
              <w:t>CORTE O TRIBUNAL</w:t>
            </w:r>
          </w:p>
        </w:tc>
        <w:tc>
          <w:tcPr>
            <w:tcW w:w="7129" w:type="dxa"/>
            <w:tcBorders>
              <w:top w:val="single" w:sz="4" w:space="0" w:color="auto"/>
              <w:left w:val="single" w:sz="4" w:space="0" w:color="auto"/>
              <w:bottom w:val="single" w:sz="4" w:space="0" w:color="auto"/>
              <w:right w:val="single" w:sz="4" w:space="0" w:color="auto"/>
            </w:tcBorders>
          </w:tcPr>
          <w:p w:rsidR="003013B5" w:rsidRPr="00C01FC1" w:rsidRDefault="003013B5" w:rsidP="00C00148">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01FC1">
              <w:rPr>
                <w:rFonts w:ascii="Arial Narrow" w:hAnsi="Arial Narrow" w:cs="Arial"/>
              </w:rPr>
              <w:t>CORTE CONSTITUCIONAL</w:t>
            </w:r>
          </w:p>
        </w:tc>
      </w:tr>
      <w:tr w:rsidR="003013B5" w:rsidTr="00C00148">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3013B5" w:rsidRPr="00C01FC1" w:rsidRDefault="003013B5" w:rsidP="00C00148">
            <w:pPr>
              <w:rPr>
                <w:rFonts w:ascii="Arial Narrow" w:hAnsi="Arial Narrow" w:cs="Arial"/>
              </w:rPr>
            </w:pPr>
            <w:r w:rsidRPr="00C01FC1">
              <w:rPr>
                <w:rFonts w:ascii="Arial Narrow" w:hAnsi="Arial Narrow" w:cs="Arial"/>
              </w:rPr>
              <w:t>SENTENCIA</w:t>
            </w:r>
          </w:p>
        </w:tc>
        <w:tc>
          <w:tcPr>
            <w:tcW w:w="7129" w:type="dxa"/>
            <w:tcBorders>
              <w:top w:val="single" w:sz="4" w:space="0" w:color="auto"/>
              <w:left w:val="single" w:sz="4" w:space="0" w:color="auto"/>
              <w:bottom w:val="single" w:sz="4" w:space="0" w:color="auto"/>
              <w:right w:val="single" w:sz="4" w:space="0" w:color="auto"/>
            </w:tcBorders>
          </w:tcPr>
          <w:p w:rsidR="003013B5" w:rsidRPr="00C01FC1" w:rsidRDefault="00FF2405" w:rsidP="00C00148">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01FC1">
              <w:rPr>
                <w:rFonts w:ascii="Arial Narrow" w:hAnsi="Arial Narrow" w:cs="Arial"/>
              </w:rPr>
              <w:t>T-828 de 2014</w:t>
            </w:r>
          </w:p>
        </w:tc>
      </w:tr>
      <w:tr w:rsidR="003013B5" w:rsidTr="00C0014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3013B5" w:rsidRPr="00C01FC1" w:rsidRDefault="003013B5" w:rsidP="00C00148">
            <w:pPr>
              <w:rPr>
                <w:rFonts w:ascii="Arial Narrow" w:hAnsi="Arial Narrow" w:cs="Arial"/>
              </w:rPr>
            </w:pPr>
            <w:r w:rsidRPr="00C01FC1">
              <w:rPr>
                <w:rFonts w:ascii="Arial Narrow" w:hAnsi="Arial Narrow" w:cs="Arial"/>
              </w:rPr>
              <w:t>FECHA</w:t>
            </w:r>
          </w:p>
        </w:tc>
        <w:tc>
          <w:tcPr>
            <w:tcW w:w="7129" w:type="dxa"/>
            <w:tcBorders>
              <w:top w:val="single" w:sz="4" w:space="0" w:color="auto"/>
              <w:left w:val="single" w:sz="4" w:space="0" w:color="auto"/>
              <w:bottom w:val="single" w:sz="4" w:space="0" w:color="auto"/>
              <w:right w:val="single" w:sz="4" w:space="0" w:color="auto"/>
            </w:tcBorders>
          </w:tcPr>
          <w:p w:rsidR="003013B5" w:rsidRPr="00C01FC1" w:rsidRDefault="00FF2405" w:rsidP="00FF2405">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01FC1">
              <w:rPr>
                <w:rFonts w:ascii="Arial Narrow" w:hAnsi="Arial Narrow" w:cs="Arial"/>
              </w:rPr>
              <w:t>05 DE NOVIEMBRE DE 2014</w:t>
            </w:r>
          </w:p>
        </w:tc>
      </w:tr>
      <w:tr w:rsidR="003013B5" w:rsidTr="00C00148">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3013B5" w:rsidRPr="00C01FC1" w:rsidRDefault="003013B5" w:rsidP="00C00148">
            <w:pPr>
              <w:rPr>
                <w:rFonts w:ascii="Arial Narrow" w:hAnsi="Arial Narrow" w:cs="Arial"/>
              </w:rPr>
            </w:pPr>
            <w:r w:rsidRPr="00C01FC1">
              <w:rPr>
                <w:rFonts w:ascii="Arial Narrow" w:hAnsi="Arial Narrow" w:cs="Arial"/>
              </w:rPr>
              <w:t>TEMÁTICA</w:t>
            </w:r>
          </w:p>
        </w:tc>
        <w:tc>
          <w:tcPr>
            <w:tcW w:w="7129" w:type="dxa"/>
            <w:tcBorders>
              <w:top w:val="single" w:sz="4" w:space="0" w:color="auto"/>
              <w:left w:val="single" w:sz="4" w:space="0" w:color="auto"/>
              <w:bottom w:val="single" w:sz="4" w:space="0" w:color="auto"/>
              <w:right w:val="single" w:sz="4" w:space="0" w:color="auto"/>
            </w:tcBorders>
          </w:tcPr>
          <w:p w:rsidR="003013B5" w:rsidRPr="00C01FC1" w:rsidRDefault="00FF2405" w:rsidP="00C0014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01FC1">
              <w:rPr>
                <w:rFonts w:ascii="Arial Narrow" w:hAnsi="Arial Narrow" w:cs="Arial"/>
              </w:rPr>
              <w:t xml:space="preserve">Derecho de petición y derecho al acceso a la información por falta de entrega de información por parte de la Unidad para la Reparación Integral para las Víctimas. </w:t>
            </w:r>
          </w:p>
        </w:tc>
      </w:tr>
      <w:tr w:rsidR="003013B5" w:rsidTr="00C0014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3013B5" w:rsidRPr="00C01FC1" w:rsidRDefault="003013B5" w:rsidP="00C00148">
            <w:pPr>
              <w:rPr>
                <w:rFonts w:ascii="Arial Narrow" w:hAnsi="Arial Narrow" w:cs="Arial"/>
              </w:rPr>
            </w:pPr>
            <w:r w:rsidRPr="00C01FC1">
              <w:rPr>
                <w:rFonts w:ascii="Arial Narrow" w:hAnsi="Arial Narrow" w:cs="Arial"/>
              </w:rPr>
              <w:t>PROBLEMA JURÍDICO</w:t>
            </w:r>
          </w:p>
        </w:tc>
      </w:tr>
      <w:tr w:rsidR="003013B5" w:rsidTr="00C00148">
        <w:trPr>
          <w:trHeight w:val="1043"/>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3013B5" w:rsidRPr="00C01FC1" w:rsidRDefault="001A61DC" w:rsidP="001A61DC">
            <w:pPr>
              <w:jc w:val="both"/>
              <w:rPr>
                <w:rFonts w:ascii="Arial Narrow" w:hAnsi="Arial Narrow" w:cs="Arial"/>
                <w:b w:val="0"/>
                <w:lang w:val="es-ES_tradnl"/>
              </w:rPr>
            </w:pPr>
            <w:r w:rsidRPr="00C01FC1">
              <w:rPr>
                <w:rFonts w:ascii="Arial Narrow" w:hAnsi="Arial Narrow" w:cs="Arial"/>
                <w:b w:val="0"/>
                <w:lang w:val="es-ES_tradnl"/>
              </w:rPr>
              <w:t>¿</w:t>
            </w:r>
            <w:r w:rsidRPr="00C01FC1">
              <w:rPr>
                <w:rFonts w:ascii="Arial Narrow" w:hAnsi="Arial Narrow" w:cs="Arial"/>
                <w:b w:val="0"/>
                <w:caps w:val="0"/>
                <w:color w:val="000000"/>
                <w:lang w:val="es-ES_tradnl"/>
              </w:rPr>
              <w:t xml:space="preserve">La Unidad para La Atención y Reparación Integral a Las Víctimas vulnera los derechos fundamentales de petición, </w:t>
            </w:r>
            <w:r w:rsidRPr="00C01FC1">
              <w:rPr>
                <w:rFonts w:ascii="Arial Narrow" w:hAnsi="Arial Narrow" w:cs="Arial"/>
                <w:caps w:val="0"/>
                <w:color w:val="000000"/>
                <w:lang w:val="es-ES_tradnl"/>
              </w:rPr>
              <w:t>acceso a la información</w:t>
            </w:r>
            <w:r w:rsidRPr="00C01FC1">
              <w:rPr>
                <w:rFonts w:ascii="Arial Narrow" w:hAnsi="Arial Narrow" w:cs="Arial"/>
                <w:b w:val="0"/>
                <w:caps w:val="0"/>
                <w:color w:val="000000"/>
                <w:lang w:val="es-ES_tradnl"/>
              </w:rPr>
              <w:t xml:space="preserve"> y de reparación de una persona que aspira a ser reconocida como víctima, cuando se niega a expedir copias de los documentos aportados por quienes fueron reconocidos como beneficiarios en un proceso de indemnización administrativa, con fundamento en que tal información está sujeta a reserva legal?</w:t>
            </w:r>
          </w:p>
        </w:tc>
      </w:tr>
      <w:tr w:rsidR="003013B5" w:rsidTr="00C0014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3013B5" w:rsidRPr="00C01FC1" w:rsidRDefault="003013B5" w:rsidP="00C00148">
            <w:pPr>
              <w:rPr>
                <w:rFonts w:ascii="Arial Narrow" w:hAnsi="Arial Narrow" w:cs="Arial"/>
              </w:rPr>
            </w:pPr>
            <w:r w:rsidRPr="00C01FC1">
              <w:rPr>
                <w:rFonts w:ascii="Arial Narrow" w:hAnsi="Arial Narrow" w:cs="Arial"/>
              </w:rPr>
              <w:t xml:space="preserve">RESUMEN DE LA SENTENCIA </w:t>
            </w:r>
          </w:p>
        </w:tc>
      </w:tr>
      <w:tr w:rsidR="003013B5" w:rsidRPr="003E5602" w:rsidTr="00C00148">
        <w:trPr>
          <w:trHeight w:val="915"/>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1A61DC" w:rsidRPr="00C01FC1" w:rsidRDefault="003013B5" w:rsidP="00C01FC1">
            <w:pPr>
              <w:jc w:val="both"/>
              <w:rPr>
                <w:rFonts w:ascii="Arial Narrow" w:hAnsi="Arial Narrow" w:cs="Arial"/>
                <w:b w:val="0"/>
                <w:caps w:val="0"/>
              </w:rPr>
            </w:pPr>
            <w:r w:rsidRPr="00C01FC1">
              <w:rPr>
                <w:rFonts w:ascii="Arial Narrow" w:hAnsi="Arial Narrow" w:cs="Arial"/>
                <w:b w:val="0"/>
                <w:caps w:val="0"/>
              </w:rPr>
              <w:t>La Corte Constitucional e</w:t>
            </w:r>
            <w:r w:rsidR="001A61DC" w:rsidRPr="00C01FC1">
              <w:rPr>
                <w:rFonts w:ascii="Arial Narrow" w:hAnsi="Arial Narrow" w:cs="Arial"/>
                <w:b w:val="0"/>
                <w:caps w:val="0"/>
              </w:rPr>
              <w:t xml:space="preserve">n sentencia de tutela analiza la procedibilidad de la acción de tutela </w:t>
            </w:r>
            <w:r w:rsidR="00BE14CF" w:rsidRPr="00C01FC1">
              <w:rPr>
                <w:rFonts w:ascii="Arial Narrow" w:hAnsi="Arial Narrow" w:cs="Arial"/>
                <w:b w:val="0"/>
                <w:caps w:val="0"/>
              </w:rPr>
              <w:t>instaurada</w:t>
            </w:r>
            <w:r w:rsidR="001A61DC" w:rsidRPr="00C01FC1">
              <w:rPr>
                <w:rFonts w:ascii="Arial Narrow" w:hAnsi="Arial Narrow" w:cs="Arial"/>
                <w:b w:val="0"/>
                <w:caps w:val="0"/>
              </w:rPr>
              <w:t xml:space="preserve"> por los peticionarios respecto al reconocimiento del derecho de petición, el derecho al acceso a la información y reparación de una persona que aspira ser víctima. </w:t>
            </w:r>
          </w:p>
          <w:p w:rsidR="001A61DC" w:rsidRPr="00C01FC1" w:rsidRDefault="001A61DC" w:rsidP="00C00148">
            <w:pPr>
              <w:rPr>
                <w:rFonts w:ascii="Arial Narrow" w:hAnsi="Arial Narrow" w:cs="Arial"/>
                <w:b w:val="0"/>
                <w:caps w:val="0"/>
              </w:rPr>
            </w:pPr>
          </w:p>
          <w:p w:rsidR="003013B5" w:rsidRPr="00C01FC1" w:rsidRDefault="003013B5" w:rsidP="00C67903">
            <w:pPr>
              <w:jc w:val="both"/>
              <w:rPr>
                <w:rFonts w:ascii="Arial Narrow" w:hAnsi="Arial Narrow" w:cs="Arial"/>
                <w:b w:val="0"/>
                <w:lang w:val="es-ES_tradnl"/>
              </w:rPr>
            </w:pPr>
            <w:r w:rsidRPr="00C01FC1">
              <w:rPr>
                <w:rFonts w:ascii="Arial Narrow" w:hAnsi="Arial Narrow" w:cs="Arial"/>
                <w:b w:val="0"/>
                <w:iCs/>
                <w:caps w:val="0"/>
              </w:rPr>
              <w:br/>
            </w:r>
            <w:r w:rsidR="00ED7F12" w:rsidRPr="00C01FC1">
              <w:rPr>
                <w:rFonts w:ascii="Arial Narrow" w:hAnsi="Arial Narrow" w:cs="Arial"/>
                <w:b w:val="0"/>
                <w:caps w:val="0"/>
              </w:rPr>
              <w:t>La Sala de la Corte Constitucional inicia analizando el alcance del derecho fundamental de petición. De manera posterior, procede a hacer análisis del artículo 74 de la Constitución Política de Colombia el cual contiene el derecho fundamental de acceso a la información pública, indicando las funciones que tiene éste de acuerdo a lo previsto en la sentencia C-274 de 2013</w:t>
            </w:r>
            <w:r w:rsidR="00490519" w:rsidRPr="00C01FC1">
              <w:rPr>
                <w:rFonts w:ascii="Arial Narrow" w:hAnsi="Arial Narrow" w:cs="Arial"/>
                <w:b w:val="0"/>
                <w:caps w:val="0"/>
              </w:rPr>
              <w:t xml:space="preserve">.  De manera adicional, la Corte indicó las limitaciones del derecho al acceso a la información determinando la tipología de la información de acuerdo a la jurisprudencia y a las leyes Estatutarias 1266 de 2008 y 1581 de 2012 las cuales son: </w:t>
            </w:r>
            <w:r w:rsidR="00C01FC1">
              <w:rPr>
                <w:rFonts w:ascii="Arial Narrow" w:hAnsi="Arial Narrow" w:cs="Arial"/>
                <w:b w:val="0"/>
                <w:caps w:val="0"/>
                <w:lang w:val="es-ES_tradnl"/>
              </w:rPr>
              <w:t>información personal e</w:t>
            </w:r>
            <w:r w:rsidR="00C01FC1" w:rsidRPr="00C01FC1">
              <w:rPr>
                <w:rFonts w:ascii="Arial Narrow" w:hAnsi="Arial Narrow" w:cs="Arial"/>
                <w:b w:val="0"/>
                <w:caps w:val="0"/>
                <w:lang w:val="es-ES_tradnl"/>
              </w:rPr>
              <w:t xml:space="preserve"> impersonal, </w:t>
            </w:r>
            <w:r w:rsidR="00C67903">
              <w:rPr>
                <w:rFonts w:ascii="Arial Narrow" w:hAnsi="Arial Narrow" w:cs="Arial"/>
                <w:b w:val="0"/>
                <w:caps w:val="0"/>
                <w:lang w:val="es-ES_tradnl"/>
              </w:rPr>
              <w:t xml:space="preserve">información </w:t>
            </w:r>
            <w:r w:rsidR="00C01FC1" w:rsidRPr="00C01FC1">
              <w:rPr>
                <w:rFonts w:ascii="Arial Narrow" w:hAnsi="Arial Narrow" w:cs="Arial"/>
                <w:b w:val="0"/>
                <w:caps w:val="0"/>
                <w:lang w:val="es-ES_tradnl"/>
              </w:rPr>
              <w:t xml:space="preserve">pública o de dominio público, </w:t>
            </w:r>
            <w:r w:rsidR="00C67903" w:rsidRPr="00C01FC1">
              <w:rPr>
                <w:rFonts w:ascii="Arial Narrow" w:hAnsi="Arial Narrow" w:cs="Arial"/>
                <w:b w:val="0"/>
                <w:caps w:val="0"/>
                <w:lang w:val="es-ES_tradnl"/>
              </w:rPr>
              <w:t>semiprivado, privado y reservado</w:t>
            </w:r>
            <w:r w:rsidR="00C01FC1" w:rsidRPr="00C01FC1">
              <w:rPr>
                <w:rFonts w:ascii="Arial Narrow" w:hAnsi="Arial Narrow" w:cs="Arial"/>
                <w:b w:val="0"/>
                <w:caps w:val="0"/>
                <w:lang w:val="es-ES_tradnl"/>
              </w:rPr>
              <w:t xml:space="preserve"> o secreta. </w:t>
            </w:r>
            <w:r w:rsidR="00C01FC1" w:rsidRPr="00C01FC1">
              <w:rPr>
                <w:rFonts w:ascii="Arial Narrow" w:hAnsi="Arial Narrow" w:cs="Arial"/>
                <w:b w:val="0"/>
                <w:caps w:val="0"/>
                <w:lang w:val="es-ES_tradnl"/>
              </w:rPr>
              <w:br/>
            </w:r>
          </w:p>
          <w:p w:rsidR="00BE14CF" w:rsidRPr="00C01FC1" w:rsidRDefault="00490519" w:rsidP="00C67903">
            <w:pPr>
              <w:jc w:val="both"/>
              <w:rPr>
                <w:rFonts w:ascii="Arial Narrow" w:hAnsi="Arial Narrow" w:cs="Arial"/>
                <w:b w:val="0"/>
                <w:caps w:val="0"/>
                <w:lang w:val="es-ES_tradnl"/>
              </w:rPr>
            </w:pPr>
            <w:r w:rsidRPr="00C01FC1">
              <w:rPr>
                <w:rFonts w:ascii="Arial Narrow" w:hAnsi="Arial Narrow" w:cs="Arial"/>
                <w:b w:val="0"/>
                <w:caps w:val="0"/>
                <w:lang w:val="es-ES_tradnl"/>
              </w:rPr>
              <w:t xml:space="preserve">Por </w:t>
            </w:r>
            <w:r w:rsidR="00BE14CF" w:rsidRPr="00C01FC1">
              <w:rPr>
                <w:rFonts w:ascii="Arial Narrow" w:hAnsi="Arial Narrow" w:cs="Arial"/>
                <w:b w:val="0"/>
                <w:caps w:val="0"/>
                <w:lang w:val="es-ES_tradnl"/>
              </w:rPr>
              <w:t xml:space="preserve">otra parte, la </w:t>
            </w:r>
            <w:r w:rsidRPr="00C01FC1">
              <w:rPr>
                <w:rFonts w:ascii="Arial Narrow" w:hAnsi="Arial Narrow" w:cs="Arial"/>
                <w:b w:val="0"/>
                <w:caps w:val="0"/>
                <w:lang w:val="es-ES_tradnl"/>
              </w:rPr>
              <w:t xml:space="preserve">Corte evaluó la procedencia excepción de la tutela para la protección del derecho al acceso a la información, dando la relevancia constitucional al derecho al acceso a la información. </w:t>
            </w:r>
            <w:r w:rsidR="00BE14CF" w:rsidRPr="00C01FC1">
              <w:rPr>
                <w:rFonts w:ascii="Arial Narrow" w:hAnsi="Arial Narrow" w:cs="Arial"/>
                <w:b w:val="0"/>
                <w:caps w:val="0"/>
                <w:lang w:val="es-ES_tradnl"/>
              </w:rPr>
              <w:t xml:space="preserve">Respecto de esto, la entidad indicó los mecanismos judiciales que existen dentro del ordenamiento jurídico colombiano para </w:t>
            </w:r>
            <w:r w:rsidR="00C67903">
              <w:rPr>
                <w:rFonts w:ascii="Arial Narrow" w:hAnsi="Arial Narrow" w:cs="Arial"/>
                <w:b w:val="0"/>
                <w:caps w:val="0"/>
                <w:lang w:val="es-ES_tradnl"/>
              </w:rPr>
              <w:t xml:space="preserve">que los ciudadanos puedan </w:t>
            </w:r>
            <w:r w:rsidR="00BE14CF" w:rsidRPr="00C01FC1">
              <w:rPr>
                <w:rFonts w:ascii="Arial Narrow" w:hAnsi="Arial Narrow" w:cs="Arial"/>
                <w:b w:val="0"/>
                <w:caps w:val="0"/>
                <w:lang w:val="es-ES_tradnl"/>
              </w:rPr>
              <w:t xml:space="preserve"> acceder a documentos públicos. La Corte</w:t>
            </w:r>
            <w:r w:rsidR="00C67903">
              <w:rPr>
                <w:rFonts w:ascii="Arial Narrow" w:hAnsi="Arial Narrow" w:cs="Arial"/>
                <w:b w:val="0"/>
                <w:caps w:val="0"/>
                <w:lang w:val="es-ES_tradnl"/>
              </w:rPr>
              <w:t xml:space="preserve"> indicó</w:t>
            </w:r>
            <w:r w:rsidR="00BE14CF" w:rsidRPr="00C01FC1">
              <w:rPr>
                <w:rFonts w:ascii="Arial Narrow" w:hAnsi="Arial Narrow" w:cs="Arial"/>
                <w:b w:val="0"/>
                <w:caps w:val="0"/>
                <w:lang w:val="es-ES_tradnl"/>
              </w:rPr>
              <w:t xml:space="preserve"> que de acuerdo a la ley 1712 de 2014</w:t>
            </w:r>
            <w:r w:rsidR="00C67903">
              <w:rPr>
                <w:rFonts w:ascii="Arial Narrow" w:hAnsi="Arial Narrow" w:cs="Arial"/>
                <w:b w:val="0"/>
                <w:caps w:val="0"/>
                <w:lang w:val="es-ES_tradnl"/>
              </w:rPr>
              <w:t xml:space="preserve"> y la sentencia C - 274 de 2013</w:t>
            </w:r>
            <w:r w:rsidR="00BE14CF" w:rsidRPr="00C01FC1">
              <w:rPr>
                <w:rFonts w:ascii="Arial Narrow" w:hAnsi="Arial Narrow" w:cs="Arial"/>
                <w:b w:val="0"/>
                <w:caps w:val="0"/>
                <w:lang w:val="es-ES_tradnl"/>
              </w:rPr>
              <w:t>, la acción de tutela resulta procedente en el evento en el cual se han agotado los recursos judiciales contemplados en la ley.</w:t>
            </w:r>
          </w:p>
          <w:p w:rsidR="00490519" w:rsidRPr="00C01FC1" w:rsidRDefault="00C67903" w:rsidP="00C67903">
            <w:pPr>
              <w:shd w:val="clear" w:color="auto" w:fill="FFFFFF"/>
              <w:spacing w:before="100" w:beforeAutospacing="1" w:after="100" w:afterAutospacing="1"/>
              <w:jc w:val="both"/>
              <w:rPr>
                <w:rFonts w:ascii="Arial Narrow" w:eastAsia="Times New Roman" w:hAnsi="Arial Narrow" w:cs="Times New Roman"/>
                <w:b w:val="0"/>
                <w:sz w:val="24"/>
                <w:szCs w:val="24"/>
                <w:lang w:eastAsia="es-CO"/>
              </w:rPr>
            </w:pPr>
            <w:r>
              <w:rPr>
                <w:rFonts w:ascii="Arial Narrow" w:hAnsi="Arial Narrow" w:cs="Arial"/>
                <w:b w:val="0"/>
                <w:caps w:val="0"/>
                <w:lang w:val="es-ES_tradnl"/>
              </w:rPr>
              <w:t>En el caso en</w:t>
            </w:r>
            <w:r w:rsidR="00BE14CF" w:rsidRPr="00C01FC1">
              <w:rPr>
                <w:rFonts w:ascii="Arial Narrow" w:hAnsi="Arial Narrow" w:cs="Arial"/>
                <w:b w:val="0"/>
                <w:caps w:val="0"/>
                <w:lang w:val="es-ES_tradnl"/>
              </w:rPr>
              <w:t xml:space="preserve"> concreto, la Corte analizó la posible vulneración de los derechos a las víctimas cuando se niega el acceso a determinada información, en donde citó jurisprudencia </w:t>
            </w:r>
            <w:r w:rsidR="00C01FC1" w:rsidRPr="00C01FC1">
              <w:rPr>
                <w:rFonts w:ascii="Arial Narrow" w:hAnsi="Arial Narrow" w:cs="Arial"/>
                <w:b w:val="0"/>
                <w:caps w:val="0"/>
                <w:lang w:val="es-ES_tradnl"/>
              </w:rPr>
              <w:t>de</w:t>
            </w:r>
            <w:r w:rsidR="00BE14CF" w:rsidRPr="00C01FC1">
              <w:rPr>
                <w:rFonts w:ascii="Arial Narrow" w:hAnsi="Arial Narrow" w:cs="Arial"/>
                <w:b w:val="0"/>
                <w:caps w:val="0"/>
                <w:lang w:val="es-ES_tradnl"/>
              </w:rPr>
              <w:t xml:space="preserve"> </w:t>
            </w:r>
            <w:r w:rsidR="00C01FC1" w:rsidRPr="00C01FC1">
              <w:rPr>
                <w:rFonts w:ascii="Arial Narrow" w:hAnsi="Arial Narrow"/>
                <w:b w:val="0"/>
                <w:caps w:val="0"/>
              </w:rPr>
              <w:t>casos en los cuales se ha negado el acceso a la información de víctimas, y ha determinado que al abstenerse de revelar los documentos y datos solicitados a los que tenían derecho a acceder, se vulneran sus derechos a la verdad, a la justicia y a la reparación</w:t>
            </w:r>
            <w:r w:rsidR="00C01FC1" w:rsidRPr="00C01FC1">
              <w:rPr>
                <w:rFonts w:ascii="Arial Narrow" w:hAnsi="Arial Narrow"/>
                <w:caps w:val="0"/>
              </w:rPr>
              <w:t xml:space="preserve">.  </w:t>
            </w:r>
            <w:r w:rsidR="00C01FC1" w:rsidRPr="00C67903">
              <w:rPr>
                <w:rFonts w:ascii="Arial Narrow" w:hAnsi="Arial Narrow"/>
                <w:b w:val="0"/>
                <w:caps w:val="0"/>
              </w:rPr>
              <w:t>Teniendo en cuenta esto, la Sala de la Corte Constitucional concluyó que</w:t>
            </w:r>
            <w:r w:rsidR="00C01FC1" w:rsidRPr="00C67903">
              <w:rPr>
                <w:rFonts w:ascii="Arial Narrow" w:hAnsi="Arial Narrow"/>
                <w:b w:val="0"/>
                <w:caps w:val="0"/>
                <w:lang w:val="es-ES_tradnl"/>
              </w:rPr>
              <w:t xml:space="preserve"> La Unidad Para La Atención Y Reparación Integral A Las Víctimas</w:t>
            </w:r>
            <w:r w:rsidR="00C01FC1" w:rsidRPr="00C01FC1">
              <w:rPr>
                <w:rFonts w:ascii="Arial Narrow" w:hAnsi="Arial Narrow"/>
                <w:caps w:val="0"/>
                <w:lang w:val="es-ES_tradnl"/>
              </w:rPr>
              <w:t xml:space="preserve"> </w:t>
            </w:r>
            <w:r w:rsidR="00C01FC1" w:rsidRPr="00C01FC1">
              <w:rPr>
                <w:rFonts w:ascii="Arial Narrow" w:hAnsi="Arial Narrow"/>
                <w:b w:val="0"/>
                <w:caps w:val="0"/>
                <w:lang w:val="es-ES_tradnl"/>
              </w:rPr>
              <w:t xml:space="preserve">vulneró los derechos fundamentales de acceso a la información y a la reparación de </w:t>
            </w:r>
            <w:r w:rsidR="00C01FC1" w:rsidRPr="00C01FC1">
              <w:rPr>
                <w:rFonts w:ascii="Arial Narrow" w:hAnsi="Arial Narrow"/>
                <w:b w:val="0"/>
                <w:caps w:val="0"/>
              </w:rPr>
              <w:t>Javier De Jesús Ríos Calle</w:t>
            </w:r>
            <w:r w:rsidR="00C01FC1" w:rsidRPr="00C01FC1">
              <w:rPr>
                <w:rFonts w:ascii="Arial Narrow" w:hAnsi="Arial Narrow"/>
                <w:b w:val="0"/>
                <w:caps w:val="0"/>
                <w:lang w:val="es-ES_tradnl"/>
              </w:rPr>
              <w:t xml:space="preserve">, debido a que </w:t>
            </w:r>
            <w:r w:rsidR="00C01FC1" w:rsidRPr="00C01FC1">
              <w:rPr>
                <w:rFonts w:ascii="Arial Narrow" w:hAnsi="Arial Narrow"/>
                <w:b w:val="0"/>
                <w:caps w:val="0"/>
              </w:rPr>
              <w:t>desconoció que la reserva legal a la que se sujeta la información de las víctimas no aplica respecto de todos los documentos, sino de los datos privados y sensibles contenidos en estos.</w:t>
            </w:r>
            <w:r w:rsidR="00C01FC1" w:rsidRPr="00C01FC1">
              <w:rPr>
                <w:rFonts w:ascii="Arial Narrow" w:eastAsia="Times New Roman" w:hAnsi="Arial Narrow" w:cs="Times New Roman"/>
                <w:b w:val="0"/>
                <w:caps w:val="0"/>
                <w:color w:val="000000"/>
                <w:sz w:val="24"/>
                <w:szCs w:val="24"/>
                <w:lang w:eastAsia="es-CO"/>
              </w:rPr>
              <w:t> </w:t>
            </w:r>
          </w:p>
        </w:tc>
      </w:tr>
      <w:tr w:rsidR="003013B5" w:rsidRPr="003E5602" w:rsidTr="00C0014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3013B5" w:rsidRPr="00C67903" w:rsidRDefault="00C01FC1" w:rsidP="00C00148">
            <w:pPr>
              <w:rPr>
                <w:rFonts w:ascii="Arial Narrow" w:hAnsi="Arial Narrow"/>
                <w:caps w:val="0"/>
              </w:rPr>
            </w:pPr>
            <w:r w:rsidRPr="00C67903">
              <w:rPr>
                <w:rFonts w:ascii="Arial Narrow" w:hAnsi="Arial Narrow"/>
                <w:caps w:val="0"/>
              </w:rPr>
              <w:t>Resuelve</w:t>
            </w:r>
          </w:p>
        </w:tc>
      </w:tr>
      <w:tr w:rsidR="003013B5" w:rsidRPr="003E5602" w:rsidTr="00C01FC1">
        <w:trPr>
          <w:trHeight w:val="85"/>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3013B5" w:rsidRPr="00C01FC1" w:rsidRDefault="00C01FC1" w:rsidP="00C01FC1">
            <w:pPr>
              <w:rPr>
                <w:rFonts w:ascii="Arial Narrow" w:hAnsi="Arial Narrow"/>
                <w:b w:val="0"/>
                <w:caps w:val="0"/>
              </w:rPr>
            </w:pPr>
            <w:r w:rsidRPr="00C01FC1">
              <w:rPr>
                <w:rFonts w:ascii="Arial Narrow" w:hAnsi="Arial Narrow"/>
                <w:b w:val="0"/>
                <w:caps w:val="0"/>
              </w:rPr>
              <w:t xml:space="preserve">La Corte Constitucional decidió conceder el amparo constitucional, ordenando a la </w:t>
            </w:r>
            <w:r w:rsidRPr="00C01FC1">
              <w:rPr>
                <w:rFonts w:ascii="Arial Narrow" w:hAnsi="Arial Narrow"/>
                <w:b w:val="0"/>
                <w:caps w:val="0"/>
                <w:lang w:val="es-ES_tradnl"/>
              </w:rPr>
              <w:t>unidad para la atención y reparación integral a las víctimas</w:t>
            </w:r>
            <w:r w:rsidRPr="00C01FC1">
              <w:rPr>
                <w:rFonts w:ascii="Arial Narrow" w:hAnsi="Arial Narrow"/>
                <w:b w:val="0"/>
                <w:caps w:val="0"/>
              </w:rPr>
              <w:t xml:space="preserve"> que en el término de cuarenta y ocho (48) horas contadas a partir de la notificación de la providencia entregara la información requerida por los accionantes. </w:t>
            </w:r>
          </w:p>
        </w:tc>
      </w:tr>
    </w:tbl>
    <w:p w:rsidR="003013B5" w:rsidRDefault="003013B5"/>
    <w:p w:rsidR="00C67903" w:rsidRDefault="00C67903"/>
    <w:p w:rsidR="002467B2" w:rsidRDefault="002467B2"/>
    <w:p w:rsidR="00C67903" w:rsidRDefault="00C67903"/>
    <w:tbl>
      <w:tblPr>
        <w:tblStyle w:val="Tablanormal3"/>
        <w:tblW w:w="99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129"/>
      </w:tblGrid>
      <w:tr w:rsidR="002467B2" w:rsidTr="000224F6">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s="Arial"/>
              </w:rPr>
            </w:pPr>
            <w:r w:rsidRPr="00AE16EB">
              <w:rPr>
                <w:rFonts w:ascii="Arial Narrow" w:hAnsi="Arial Narrow" w:cs="Arial"/>
              </w:rPr>
              <w:lastRenderedPageBreak/>
              <w:t xml:space="preserve">FICHA TECNICA </w:t>
            </w:r>
          </w:p>
        </w:tc>
      </w:tr>
      <w:tr w:rsidR="002467B2"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s="Arial"/>
              </w:rPr>
            </w:pPr>
            <w:r w:rsidRPr="00AE16EB">
              <w:rPr>
                <w:rFonts w:ascii="Arial Narrow" w:hAnsi="Arial Narrow" w:cs="Arial"/>
              </w:rPr>
              <w:t>CORTE O TRIBUNAL</w:t>
            </w:r>
          </w:p>
        </w:tc>
        <w:tc>
          <w:tcPr>
            <w:tcW w:w="7129"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E16EB">
              <w:rPr>
                <w:rFonts w:ascii="Arial Narrow" w:hAnsi="Arial Narrow" w:cs="Arial"/>
              </w:rPr>
              <w:t>CORTE CONSTITUCIONAL</w:t>
            </w:r>
          </w:p>
        </w:tc>
      </w:tr>
      <w:tr w:rsidR="002467B2" w:rsidTr="000224F6">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s="Arial"/>
              </w:rPr>
            </w:pPr>
            <w:r w:rsidRPr="00AE16EB">
              <w:rPr>
                <w:rFonts w:ascii="Arial Narrow" w:hAnsi="Arial Narrow" w:cs="Arial"/>
              </w:rPr>
              <w:t>SENTENCIA</w:t>
            </w:r>
          </w:p>
        </w:tc>
        <w:tc>
          <w:tcPr>
            <w:tcW w:w="7129"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AE16EB">
              <w:rPr>
                <w:rFonts w:ascii="Arial Narrow" w:hAnsi="Arial Narrow" w:cs="Arial"/>
              </w:rPr>
              <w:t xml:space="preserve">C-221 DE 2016 </w:t>
            </w:r>
          </w:p>
        </w:tc>
      </w:tr>
      <w:tr w:rsidR="002467B2"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s="Arial"/>
              </w:rPr>
            </w:pPr>
            <w:r w:rsidRPr="00AE16EB">
              <w:rPr>
                <w:rFonts w:ascii="Arial Narrow" w:hAnsi="Arial Narrow" w:cs="Arial"/>
              </w:rPr>
              <w:t>FECHA</w:t>
            </w:r>
          </w:p>
        </w:tc>
        <w:tc>
          <w:tcPr>
            <w:tcW w:w="7129"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E16EB">
              <w:rPr>
                <w:rFonts w:ascii="Arial Narrow" w:hAnsi="Arial Narrow" w:cs="Arial"/>
              </w:rPr>
              <w:t>04 DE MAYO DE 2016</w:t>
            </w:r>
          </w:p>
        </w:tc>
      </w:tr>
      <w:tr w:rsidR="002467B2" w:rsidTr="000224F6">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s="Arial"/>
              </w:rPr>
            </w:pPr>
            <w:r w:rsidRPr="00AE16EB">
              <w:rPr>
                <w:rFonts w:ascii="Arial Narrow" w:hAnsi="Arial Narrow" w:cs="Arial"/>
              </w:rPr>
              <w:t>TEMÁTICA</w:t>
            </w:r>
          </w:p>
        </w:tc>
        <w:tc>
          <w:tcPr>
            <w:tcW w:w="7129" w:type="dxa"/>
            <w:tcBorders>
              <w:top w:val="single" w:sz="4" w:space="0" w:color="auto"/>
              <w:left w:val="single" w:sz="4" w:space="0" w:color="auto"/>
              <w:bottom w:val="single" w:sz="4" w:space="0" w:color="auto"/>
              <w:right w:val="single" w:sz="4" w:space="0" w:color="auto"/>
            </w:tcBorders>
          </w:tcPr>
          <w:p w:rsidR="002467B2" w:rsidRPr="00AE16EB" w:rsidRDefault="002467B2" w:rsidP="000224F6">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AE16EB">
              <w:rPr>
                <w:rFonts w:ascii="Arial Narrow" w:hAnsi="Arial Narrow" w:cs="Arial"/>
              </w:rPr>
              <w:t xml:space="preserve">En relación al Derecho fundamental al Acceso a la Información Pública constitucionalidad del </w:t>
            </w:r>
            <w:r w:rsidRPr="00AE16EB">
              <w:rPr>
                <w:rFonts w:ascii="Arial Narrow" w:hAnsi="Arial Narrow"/>
                <w:lang w:val="es-ES_tradnl"/>
              </w:rPr>
              <w:t>inciso 7 del Artículo 20 de la Ley 1753 de 2015, al disponer que la información geológica, geoquímica y geofísica que el servicio geológico colombiano genere a partir de la declaratoria de las áreas de reservas estratégica minera, por parte de la autoridad minera, tendrá el carácter de reservada</w:t>
            </w:r>
            <w:r w:rsidRPr="00AE16EB">
              <w:rPr>
                <w:rFonts w:ascii="Arial Narrow" w:hAnsi="Arial Narrow"/>
                <w:i/>
                <w:iCs/>
                <w:lang w:val="es-ES_tradnl"/>
              </w:rPr>
              <w:t xml:space="preserve">, </w:t>
            </w:r>
            <w:r w:rsidRPr="00AE16EB">
              <w:rPr>
                <w:rFonts w:ascii="Arial Narrow" w:hAnsi="Arial Narrow"/>
                <w:lang w:val="es-ES_tradnl"/>
              </w:rPr>
              <w:t>desconoce el derecho de acceso a la información pública establecido en el Artículo 74 de la Constitución Política.</w:t>
            </w:r>
          </w:p>
        </w:tc>
      </w:tr>
      <w:tr w:rsidR="002467B2"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s="Arial"/>
              </w:rPr>
            </w:pPr>
            <w:r w:rsidRPr="00AE16EB">
              <w:rPr>
                <w:rFonts w:ascii="Arial Narrow" w:hAnsi="Arial Narrow" w:cs="Arial"/>
              </w:rPr>
              <w:t>PROBLEMA JURÍDICO</w:t>
            </w:r>
          </w:p>
        </w:tc>
      </w:tr>
      <w:tr w:rsidR="002467B2" w:rsidTr="000224F6">
        <w:trPr>
          <w:trHeight w:val="1043"/>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2467B2" w:rsidRPr="00AE16EB" w:rsidRDefault="002467B2" w:rsidP="000224F6">
            <w:pPr>
              <w:jc w:val="both"/>
              <w:rPr>
                <w:rFonts w:ascii="Arial Narrow" w:hAnsi="Arial Narrow" w:cs="Arial"/>
                <w:b w:val="0"/>
                <w:lang w:val="es-ES_tradnl"/>
              </w:rPr>
            </w:pPr>
            <w:r w:rsidRPr="00AE16EB">
              <w:rPr>
                <w:rFonts w:ascii="Arial Narrow" w:hAnsi="Arial Narrow" w:cs="Arial"/>
                <w:b w:val="0"/>
                <w:caps w:val="0"/>
                <w:lang w:val="es-ES_tradnl"/>
              </w:rPr>
              <w:t xml:space="preserve">Frente al derecho fundamental al acceso a la información pública, la Corte Constitucional analizó  </w:t>
            </w:r>
            <w:r w:rsidRPr="00AE16EB">
              <w:rPr>
                <w:rFonts w:ascii="Arial Narrow" w:hAnsi="Arial Narrow"/>
                <w:b w:val="0"/>
                <w:caps w:val="0"/>
                <w:lang w:val="es-ES_tradnl"/>
              </w:rPr>
              <w:t>si el inciso 7 del artículo 20 de la ley 1753 de 2015, al prescribir que la información geológica, geoquímica y geofísica que el servicio geológico colombiano genere a partir de la declaratoria de las áreas estratégicas mineras por parte de la autoridad minera, tendrá el carácter de reservada, ¿es contrario al libre acceso a los documentos públicos consagrado en el artículo 74 de la carta política?</w:t>
            </w:r>
          </w:p>
        </w:tc>
      </w:tr>
      <w:tr w:rsidR="002467B2"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s="Arial"/>
              </w:rPr>
            </w:pPr>
            <w:r w:rsidRPr="00AE16EB">
              <w:rPr>
                <w:rFonts w:ascii="Arial Narrow" w:hAnsi="Arial Narrow" w:cs="Arial"/>
              </w:rPr>
              <w:t xml:space="preserve">RESUMEN DE LA SENTENCIA </w:t>
            </w:r>
          </w:p>
        </w:tc>
      </w:tr>
      <w:tr w:rsidR="002467B2" w:rsidRPr="003E5602" w:rsidTr="000224F6">
        <w:trPr>
          <w:trHeight w:val="915"/>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2467B2" w:rsidRDefault="002467B2" w:rsidP="000224F6">
            <w:pPr>
              <w:jc w:val="both"/>
              <w:rPr>
                <w:rFonts w:ascii="Arial Narrow" w:hAnsi="Arial Narrow" w:cs="Arial"/>
                <w:b w:val="0"/>
                <w:caps w:val="0"/>
              </w:rPr>
            </w:pPr>
            <w:r w:rsidRPr="00AE16EB">
              <w:rPr>
                <w:rFonts w:ascii="Arial Narrow" w:hAnsi="Arial Narrow" w:cs="Arial"/>
                <w:b w:val="0"/>
                <w:caps w:val="0"/>
              </w:rPr>
              <w:t xml:space="preserve">Frente al problema jurídico planteado, la Corte Constitucional procedió a realizar el análisis de constitucionalidad del </w:t>
            </w:r>
            <w:r w:rsidRPr="00AE16EB">
              <w:rPr>
                <w:rFonts w:ascii="Arial Narrow" w:hAnsi="Arial Narrow"/>
                <w:b w:val="0"/>
                <w:bCs w:val="0"/>
                <w:caps w:val="0"/>
                <w:lang w:val="es-ES_tradnl"/>
              </w:rPr>
              <w:t>inciso 7 del artículo 20 de la ley 1753 de 2015, por la presunta vulneración del derecho de acceso a documentos públicos</w:t>
            </w:r>
            <w:r>
              <w:rPr>
                <w:rFonts w:ascii="Arial Narrow" w:hAnsi="Arial Narrow" w:cs="Arial"/>
                <w:b w:val="0"/>
                <w:caps w:val="0"/>
              </w:rPr>
              <w:t>.  La Corte revisó</w:t>
            </w:r>
            <w:r w:rsidRPr="00AE16EB">
              <w:rPr>
                <w:rFonts w:ascii="Arial Narrow" w:hAnsi="Arial Narrow" w:cs="Arial"/>
                <w:b w:val="0"/>
                <w:caps w:val="0"/>
              </w:rPr>
              <w:t xml:space="preserve"> la relación entre el libre acceso a documentos públicos y la democracia indicando que: </w:t>
            </w:r>
          </w:p>
          <w:p w:rsidR="002467B2" w:rsidRDefault="002467B2" w:rsidP="000224F6">
            <w:pPr>
              <w:jc w:val="both"/>
              <w:rPr>
                <w:rFonts w:ascii="Arial Narrow" w:hAnsi="Arial Narrow" w:cs="Arial"/>
                <w:b w:val="0"/>
                <w:caps w:val="0"/>
              </w:rPr>
            </w:pPr>
          </w:p>
          <w:p w:rsidR="002467B2" w:rsidRPr="00AE16EB" w:rsidRDefault="002467B2" w:rsidP="000224F6">
            <w:pPr>
              <w:ind w:left="317"/>
              <w:jc w:val="both"/>
              <w:rPr>
                <w:rFonts w:ascii="Arial Narrow" w:hAnsi="Arial Narrow"/>
                <w:b w:val="0"/>
                <w:lang w:val="es-ES_tradnl"/>
              </w:rPr>
            </w:pPr>
            <w:r w:rsidRPr="00AE16EB">
              <w:rPr>
                <w:rFonts w:ascii="Arial Narrow" w:hAnsi="Arial Narrow" w:cs="Arial"/>
                <w:b w:val="0"/>
                <w:caps w:val="0"/>
              </w:rPr>
              <w:t>“</w:t>
            </w:r>
            <w:r>
              <w:rPr>
                <w:rFonts w:ascii="Arial Narrow" w:hAnsi="Arial Narrow"/>
                <w:b w:val="0"/>
                <w:caps w:val="0"/>
                <w:lang w:val="es-ES_tradnl"/>
              </w:rPr>
              <w:t>A</w:t>
            </w:r>
            <w:r w:rsidRPr="00AE16EB">
              <w:rPr>
                <w:rFonts w:ascii="Arial Narrow" w:hAnsi="Arial Narrow"/>
                <w:b w:val="0"/>
                <w:caps w:val="0"/>
                <w:lang w:val="es-ES_tradnl"/>
              </w:rPr>
              <w:t>l efectuar control previo de constitucionalidad sobre estas reserv</w:t>
            </w:r>
            <w:r>
              <w:rPr>
                <w:rFonts w:ascii="Arial Narrow" w:hAnsi="Arial Narrow"/>
                <w:b w:val="0"/>
                <w:caps w:val="0"/>
                <w:lang w:val="es-ES_tradnl"/>
              </w:rPr>
              <w:t>as, la C</w:t>
            </w:r>
            <w:r w:rsidRPr="00AE16EB">
              <w:rPr>
                <w:rFonts w:ascii="Arial Narrow" w:hAnsi="Arial Narrow"/>
                <w:b w:val="0"/>
                <w:caps w:val="0"/>
                <w:lang w:val="es-ES_tradnl"/>
              </w:rPr>
              <w:t xml:space="preserve">orte en sentencia </w:t>
            </w:r>
            <w:r>
              <w:rPr>
                <w:rFonts w:ascii="Arial Narrow" w:hAnsi="Arial Narrow"/>
                <w:b w:val="0"/>
                <w:caps w:val="0"/>
                <w:lang w:val="es-ES_tradnl"/>
              </w:rPr>
              <w:t>C</w:t>
            </w:r>
            <w:r w:rsidRPr="00AE16EB">
              <w:rPr>
                <w:rFonts w:ascii="Arial Narrow" w:hAnsi="Arial Narrow"/>
                <w:b w:val="0"/>
                <w:caps w:val="0"/>
                <w:lang w:val="es-ES_tradnl"/>
              </w:rPr>
              <w:t>-951 de 2014, se pronunció en el sentido de precisar que el  derecho de acceso a documentos públicos debe ser entendido como una manifestación concreta del derecho a la información, que en muchas ocasiones se encuentra determinado por la efectiva garantía del derecho fundamental de petición, previsto como el mecanismo por antonomasia para acceder a la información de carácter público</w:t>
            </w:r>
            <w:r w:rsidRPr="00AE16EB">
              <w:rPr>
                <w:rFonts w:ascii="Arial Narrow" w:hAnsi="Arial Narrow"/>
                <w:b w:val="0"/>
                <w:lang w:val="es-ES_tradnl"/>
              </w:rPr>
              <w:t>.”</w:t>
            </w:r>
          </w:p>
          <w:p w:rsidR="002467B2" w:rsidRPr="00AE16EB" w:rsidRDefault="002467B2" w:rsidP="000224F6">
            <w:pPr>
              <w:jc w:val="both"/>
              <w:rPr>
                <w:rFonts w:ascii="Arial Narrow" w:hAnsi="Arial Narrow"/>
                <w:b w:val="0"/>
                <w:lang w:val="es-ES_tradnl"/>
              </w:rPr>
            </w:pPr>
          </w:p>
          <w:p w:rsidR="002467B2" w:rsidRPr="00AE16EB" w:rsidRDefault="002467B2" w:rsidP="000224F6">
            <w:pPr>
              <w:jc w:val="both"/>
              <w:rPr>
                <w:rFonts w:ascii="Arial Narrow" w:hAnsi="Arial Narrow"/>
                <w:b w:val="0"/>
                <w:caps w:val="0"/>
                <w:lang w:val="es-ES"/>
              </w:rPr>
            </w:pPr>
            <w:r w:rsidRPr="00AE16EB">
              <w:rPr>
                <w:rFonts w:ascii="Arial Narrow" w:hAnsi="Arial Narrow"/>
                <w:b w:val="0"/>
                <w:caps w:val="0"/>
                <w:lang w:val="es-ES_tradnl"/>
              </w:rPr>
              <w:t xml:space="preserve">De manera posterior la Corte </w:t>
            </w:r>
            <w:r>
              <w:rPr>
                <w:rFonts w:ascii="Arial Narrow" w:hAnsi="Arial Narrow"/>
                <w:b w:val="0"/>
                <w:caps w:val="0"/>
                <w:lang w:val="es-ES_tradnl"/>
              </w:rPr>
              <w:t xml:space="preserve">realizó el análisis </w:t>
            </w:r>
            <w:r w:rsidRPr="00AE16EB">
              <w:rPr>
                <w:rFonts w:ascii="Arial Narrow" w:hAnsi="Arial Narrow"/>
                <w:b w:val="0"/>
                <w:caps w:val="0"/>
                <w:lang w:val="es-ES_tradnl"/>
              </w:rPr>
              <w:t>de los documentos públicos sujetos a reserva</w:t>
            </w:r>
            <w:r w:rsidR="00ED593C">
              <w:rPr>
                <w:rFonts w:ascii="Arial Narrow" w:hAnsi="Arial Narrow"/>
                <w:b w:val="0"/>
                <w:caps w:val="0"/>
                <w:lang w:val="es-ES_tradnl"/>
              </w:rPr>
              <w:t>, en donde la Corte tuvo en cuenta la Ley 1712 de 2014, marco normativo del derecho fundamental de acceso a la información, el cual ha sido aplicado y por parte de la</w:t>
            </w:r>
            <w:r w:rsidRPr="00AE16EB">
              <w:rPr>
                <w:rFonts w:ascii="Arial Narrow" w:hAnsi="Arial Narrow"/>
                <w:b w:val="0"/>
                <w:caps w:val="0"/>
                <w:lang w:val="es-ES_tradnl"/>
              </w:rPr>
              <w:t xml:space="preserve"> Corte </w:t>
            </w:r>
            <w:r w:rsidR="00ED593C">
              <w:rPr>
                <w:rFonts w:ascii="Arial Narrow" w:hAnsi="Arial Narrow"/>
                <w:b w:val="0"/>
                <w:caps w:val="0"/>
                <w:lang w:val="es-ES_tradnl"/>
              </w:rPr>
              <w:t>para la resolución de casos concretos. Respecto a esto, la jurisprudencia ha de</w:t>
            </w:r>
            <w:r w:rsidRPr="00AE16EB">
              <w:rPr>
                <w:rFonts w:ascii="Arial Narrow" w:hAnsi="Arial Narrow"/>
                <w:b w:val="0"/>
                <w:caps w:val="0"/>
                <w:lang w:val="es-ES"/>
              </w:rPr>
              <w:t>finido que el derecho de acceso a los documentos públicos debe ser entendido como una manifestación concreta del derecho a la info</w:t>
            </w:r>
            <w:r>
              <w:rPr>
                <w:rFonts w:ascii="Arial Narrow" w:hAnsi="Arial Narrow"/>
                <w:b w:val="0"/>
                <w:caps w:val="0"/>
                <w:lang w:val="es-ES"/>
              </w:rPr>
              <w:t xml:space="preserve">rmación, y con base en esto, se examinó </w:t>
            </w:r>
            <w:r w:rsidRPr="00AE16EB">
              <w:rPr>
                <w:rFonts w:ascii="Arial Narrow" w:hAnsi="Arial Narrow"/>
                <w:b w:val="0"/>
                <w:caps w:val="0"/>
                <w:lang w:val="es-ES"/>
              </w:rPr>
              <w:t xml:space="preserve">la constitucionalidad de la reserva establecida en el inciso 7 de la artículo 20 de la ley 1753 de 2015, teniendo como parámetro de juzgamiento el contenido prescriptivo del artículo 74 </w:t>
            </w:r>
            <w:r>
              <w:rPr>
                <w:rFonts w:ascii="Arial Narrow" w:hAnsi="Arial Narrow"/>
                <w:b w:val="0"/>
                <w:caps w:val="0"/>
                <w:lang w:val="es-ES"/>
              </w:rPr>
              <w:t>de la C</w:t>
            </w:r>
            <w:r w:rsidRPr="00AE16EB">
              <w:rPr>
                <w:rFonts w:ascii="Arial Narrow" w:hAnsi="Arial Narrow"/>
                <w:b w:val="0"/>
                <w:caps w:val="0"/>
                <w:lang w:val="es-ES"/>
              </w:rPr>
              <w:t xml:space="preserve">onstitución. </w:t>
            </w:r>
          </w:p>
          <w:p w:rsidR="002467B2" w:rsidRPr="00AE16EB" w:rsidRDefault="002467B2" w:rsidP="000224F6">
            <w:pPr>
              <w:jc w:val="both"/>
              <w:rPr>
                <w:rFonts w:ascii="Arial Narrow" w:hAnsi="Arial Narrow"/>
                <w:b w:val="0"/>
                <w:caps w:val="0"/>
                <w:lang w:val="es-ES"/>
              </w:rPr>
            </w:pPr>
          </w:p>
          <w:p w:rsidR="002467B2" w:rsidRPr="00AE16EB" w:rsidRDefault="002467B2" w:rsidP="000224F6">
            <w:pPr>
              <w:jc w:val="both"/>
              <w:rPr>
                <w:rFonts w:ascii="Arial Narrow" w:eastAsia="Times New Roman" w:hAnsi="Arial Narrow" w:cs="Times New Roman"/>
                <w:bCs w:val="0"/>
                <w:caps w:val="0"/>
                <w:sz w:val="24"/>
                <w:szCs w:val="24"/>
                <w:lang w:val="es-ES" w:eastAsia="es-CO"/>
              </w:rPr>
            </w:pPr>
            <w:r>
              <w:rPr>
                <w:rFonts w:ascii="Arial Narrow" w:hAnsi="Arial Narrow"/>
                <w:b w:val="0"/>
                <w:caps w:val="0"/>
                <w:lang w:val="es-ES"/>
              </w:rPr>
              <w:t xml:space="preserve">Siendo así, </w:t>
            </w:r>
            <w:r w:rsidRPr="00AE16EB">
              <w:rPr>
                <w:rFonts w:ascii="Arial Narrow" w:hAnsi="Arial Narrow"/>
                <w:b w:val="0"/>
                <w:caps w:val="0"/>
                <w:lang w:val="es-ES"/>
              </w:rPr>
              <w:t>la Corte procedió a realizar el Test estricto sobre la reserva documental el cual comprende la evaluación de la finalidad de la medida, idoneidad, necesidad y la proporcionalidad de la misma.</w:t>
            </w:r>
            <w:r>
              <w:rPr>
                <w:rFonts w:ascii="Arial Narrow" w:hAnsi="Arial Narrow"/>
                <w:b w:val="0"/>
                <w:caps w:val="0"/>
                <w:lang w:val="es-ES"/>
              </w:rPr>
              <w:t xml:space="preserve"> La</w:t>
            </w:r>
            <w:r w:rsidRPr="00AE16EB">
              <w:rPr>
                <w:rFonts w:ascii="Arial Narrow" w:hAnsi="Arial Narrow"/>
                <w:b w:val="0"/>
                <w:caps w:val="0"/>
                <w:lang w:val="es-ES"/>
              </w:rPr>
              <w:t xml:space="preserve"> Corte concluyó que  en el marco del artículo 74 de la constitución política, la corte considera que la regla contenida en el inciso 7 del artículo 20 de la ley </w:t>
            </w:r>
            <w:r w:rsidRPr="00AE16EB">
              <w:rPr>
                <w:rFonts w:ascii="Arial Narrow" w:hAnsi="Arial Narrow"/>
                <w:b w:val="0"/>
                <w:lang w:val="es-ES"/>
              </w:rPr>
              <w:t>1753</w:t>
            </w:r>
            <w:r w:rsidRPr="00AE16EB">
              <w:rPr>
                <w:rFonts w:ascii="Arial Narrow" w:hAnsi="Arial Narrow"/>
                <w:b w:val="0"/>
                <w:caps w:val="0"/>
                <w:lang w:val="es-ES"/>
              </w:rPr>
              <w:t xml:space="preserve"> de 2015 no supera el test estricto propuesto, ya que: (i) si bien pretende contribuir a una finalidad legítima y acorde con la constitución como lo es el desarrollo minero energético, (ii) en principio es adecuada en tanto logra el fin para el que está propuesta, (iii) es necesaria, en tanto no está probada la existencia de otro medio que con la misma eficacia resguarde el secreto de la información, (iv) sin embargo, resulta desproporcionada en sí misma, pues reporta privilegios injustificados, que conducen a situaciones violatorias de los derechos de la ciudadanía en general, de las entidades territoriales y de las comunidades indígenas y afro descendientes. </w:t>
            </w:r>
          </w:p>
        </w:tc>
      </w:tr>
      <w:tr w:rsidR="002467B2" w:rsidRPr="003E5602" w:rsidTr="000224F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caps w:val="0"/>
              </w:rPr>
            </w:pPr>
            <w:r w:rsidRPr="00AE16EB">
              <w:rPr>
                <w:rFonts w:ascii="Arial Narrow" w:hAnsi="Arial Narrow"/>
                <w:caps w:val="0"/>
              </w:rPr>
              <w:t>Resuelve</w:t>
            </w:r>
          </w:p>
        </w:tc>
      </w:tr>
      <w:tr w:rsidR="002467B2" w:rsidRPr="003E5602" w:rsidTr="000224F6">
        <w:trPr>
          <w:trHeight w:val="85"/>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2467B2" w:rsidRPr="00AE16EB" w:rsidRDefault="002467B2" w:rsidP="000224F6">
            <w:pPr>
              <w:rPr>
                <w:rFonts w:ascii="Arial Narrow" w:hAnsi="Arial Narrow"/>
                <w:b w:val="0"/>
                <w:caps w:val="0"/>
              </w:rPr>
            </w:pPr>
            <w:r w:rsidRPr="00AE16EB">
              <w:rPr>
                <w:rFonts w:ascii="Arial Narrow" w:hAnsi="Arial Narrow"/>
                <w:b w:val="0"/>
                <w:caps w:val="0"/>
              </w:rPr>
              <w:t xml:space="preserve">La Corte Constitucional procedió a declarar inexequible el inciso </w:t>
            </w:r>
            <w:r w:rsidRPr="00AE16EB">
              <w:rPr>
                <w:rFonts w:ascii="Arial Narrow" w:hAnsi="Arial Narrow"/>
                <w:b w:val="0"/>
                <w:lang w:val="es-ES_tradnl"/>
              </w:rPr>
              <w:t xml:space="preserve">7 </w:t>
            </w:r>
            <w:r w:rsidRPr="00AE16EB">
              <w:rPr>
                <w:rFonts w:ascii="Arial Narrow" w:hAnsi="Arial Narrow"/>
                <w:b w:val="0"/>
                <w:caps w:val="0"/>
                <w:lang w:val="es-ES_tradnl"/>
              </w:rPr>
              <w:t xml:space="preserve">del artículo 20 de la ley 1753 de 2015 teniendo en cuenta que no superó el test estricto sobre la reserva documental. </w:t>
            </w:r>
          </w:p>
        </w:tc>
      </w:tr>
    </w:tbl>
    <w:p w:rsidR="00724EB3" w:rsidRDefault="00724EB3" w:rsidP="00724EB3">
      <w:pPr>
        <w:rPr>
          <w:b/>
        </w:rPr>
      </w:pPr>
    </w:p>
    <w:p w:rsidR="0035655F" w:rsidRDefault="0035655F" w:rsidP="00724EB3">
      <w:pPr>
        <w:rPr>
          <w:b/>
        </w:rPr>
      </w:pPr>
    </w:p>
    <w:tbl>
      <w:tblPr>
        <w:tblStyle w:val="Tablanormal3"/>
        <w:tblW w:w="99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129"/>
      </w:tblGrid>
      <w:tr w:rsidR="00724EB3" w:rsidTr="000224F6">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s="Arial"/>
              </w:rPr>
            </w:pPr>
            <w:r w:rsidRPr="00AE16EB">
              <w:rPr>
                <w:rFonts w:ascii="Arial Narrow" w:hAnsi="Arial Narrow" w:cs="Arial"/>
              </w:rPr>
              <w:lastRenderedPageBreak/>
              <w:t xml:space="preserve">FICHA TECNICA </w:t>
            </w:r>
          </w:p>
        </w:tc>
      </w:tr>
      <w:tr w:rsidR="00724EB3"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s="Arial"/>
              </w:rPr>
            </w:pPr>
            <w:r w:rsidRPr="00AE16EB">
              <w:rPr>
                <w:rFonts w:ascii="Arial Narrow" w:hAnsi="Arial Narrow" w:cs="Arial"/>
              </w:rPr>
              <w:t>CORTE O TRIBUNAL</w:t>
            </w:r>
          </w:p>
        </w:tc>
        <w:tc>
          <w:tcPr>
            <w:tcW w:w="7129" w:type="dxa"/>
            <w:tcBorders>
              <w:top w:val="single" w:sz="4" w:space="0" w:color="auto"/>
              <w:left w:val="single" w:sz="4" w:space="0" w:color="auto"/>
              <w:bottom w:val="single" w:sz="4" w:space="0" w:color="auto"/>
              <w:right w:val="single" w:sz="4" w:space="0" w:color="auto"/>
            </w:tcBorders>
          </w:tcPr>
          <w:p w:rsidR="00724EB3" w:rsidRPr="00AE16EB" w:rsidRDefault="00724EB3" w:rsidP="00724EB3">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AE16EB">
              <w:rPr>
                <w:rFonts w:ascii="Arial Narrow" w:hAnsi="Arial Narrow" w:cs="Arial"/>
              </w:rPr>
              <w:t>C</w:t>
            </w:r>
            <w:r>
              <w:rPr>
                <w:rFonts w:ascii="Arial Narrow" w:hAnsi="Arial Narrow" w:cs="Arial"/>
              </w:rPr>
              <w:t>ONSEJO DE ESTADO</w:t>
            </w:r>
          </w:p>
        </w:tc>
      </w:tr>
      <w:tr w:rsidR="00724EB3" w:rsidTr="000224F6">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s="Arial"/>
              </w:rPr>
            </w:pPr>
            <w:r w:rsidRPr="00AE16EB">
              <w:rPr>
                <w:rFonts w:ascii="Arial Narrow" w:hAnsi="Arial Narrow" w:cs="Arial"/>
              </w:rPr>
              <w:t>SENTENCIA</w:t>
            </w:r>
            <w:r w:rsidR="00080CD2">
              <w:rPr>
                <w:rFonts w:ascii="Arial Narrow" w:hAnsi="Arial Narrow" w:cs="Arial"/>
              </w:rPr>
              <w:t xml:space="preserve"> Número</w:t>
            </w:r>
          </w:p>
        </w:tc>
        <w:tc>
          <w:tcPr>
            <w:tcW w:w="7129" w:type="dxa"/>
            <w:tcBorders>
              <w:top w:val="single" w:sz="4" w:space="0" w:color="auto"/>
              <w:left w:val="single" w:sz="4" w:space="0" w:color="auto"/>
              <w:bottom w:val="single" w:sz="4" w:space="0" w:color="auto"/>
              <w:right w:val="single" w:sz="4" w:space="0" w:color="auto"/>
            </w:tcBorders>
          </w:tcPr>
          <w:p w:rsidR="00724EB3" w:rsidRPr="00AE16EB" w:rsidRDefault="00080CD2" w:rsidP="000224F6">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11001031500020160194301</w:t>
            </w:r>
          </w:p>
        </w:tc>
      </w:tr>
      <w:tr w:rsidR="00724EB3"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s="Arial"/>
              </w:rPr>
            </w:pPr>
            <w:r w:rsidRPr="00AE16EB">
              <w:rPr>
                <w:rFonts w:ascii="Arial Narrow" w:hAnsi="Arial Narrow" w:cs="Arial"/>
              </w:rPr>
              <w:t>FECHA</w:t>
            </w:r>
          </w:p>
        </w:tc>
        <w:tc>
          <w:tcPr>
            <w:tcW w:w="7129" w:type="dxa"/>
            <w:tcBorders>
              <w:top w:val="single" w:sz="4" w:space="0" w:color="auto"/>
              <w:left w:val="single" w:sz="4" w:space="0" w:color="auto"/>
              <w:bottom w:val="single" w:sz="4" w:space="0" w:color="auto"/>
              <w:right w:val="single" w:sz="4" w:space="0" w:color="auto"/>
            </w:tcBorders>
          </w:tcPr>
          <w:p w:rsidR="00724EB3" w:rsidRPr="00AE16EB" w:rsidRDefault="00080CD2" w:rsidP="000224F6">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20 DE FEBRERO DE 2017</w:t>
            </w:r>
          </w:p>
        </w:tc>
      </w:tr>
      <w:tr w:rsidR="00724EB3" w:rsidTr="000224F6">
        <w:trPr>
          <w:trHeight w:val="310"/>
        </w:trPr>
        <w:tc>
          <w:tcPr>
            <w:cnfStyle w:val="001000000000" w:firstRow="0" w:lastRow="0" w:firstColumn="1" w:lastColumn="0" w:oddVBand="0" w:evenVBand="0" w:oddHBand="0" w:evenHBand="0" w:firstRowFirstColumn="0" w:firstRowLastColumn="0" w:lastRowFirstColumn="0" w:lastRowLastColumn="0"/>
            <w:tcW w:w="2827" w:type="dxa"/>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s="Arial"/>
              </w:rPr>
            </w:pPr>
            <w:r w:rsidRPr="00AE16EB">
              <w:rPr>
                <w:rFonts w:ascii="Arial Narrow" w:hAnsi="Arial Narrow" w:cs="Arial"/>
              </w:rPr>
              <w:t>TEMÁTICA</w:t>
            </w:r>
          </w:p>
        </w:tc>
        <w:tc>
          <w:tcPr>
            <w:tcW w:w="7129" w:type="dxa"/>
            <w:tcBorders>
              <w:top w:val="single" w:sz="4" w:space="0" w:color="auto"/>
              <w:left w:val="single" w:sz="4" w:space="0" w:color="auto"/>
              <w:bottom w:val="single" w:sz="4" w:space="0" w:color="auto"/>
              <w:right w:val="single" w:sz="4" w:space="0" w:color="auto"/>
            </w:tcBorders>
          </w:tcPr>
          <w:p w:rsidR="0076105A" w:rsidRDefault="00080CD2" w:rsidP="00080CD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roofErr w:type="spellStart"/>
            <w:r>
              <w:rPr>
                <w:rFonts w:ascii="Arial Narrow" w:hAnsi="Arial Narrow" w:cs="Arial"/>
              </w:rPr>
              <w:t>Dere</w:t>
            </w:r>
            <w:proofErr w:type="spellEnd"/>
          </w:p>
          <w:p w:rsidR="00724EB3" w:rsidRPr="00AE16EB" w:rsidRDefault="00080CD2" w:rsidP="00080CD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roofErr w:type="spellStart"/>
            <w:proofErr w:type="gramStart"/>
            <w:r>
              <w:rPr>
                <w:rFonts w:ascii="Arial Narrow" w:hAnsi="Arial Narrow" w:cs="Arial"/>
              </w:rPr>
              <w:t>cho</w:t>
            </w:r>
            <w:proofErr w:type="spellEnd"/>
            <w:proofErr w:type="gramEnd"/>
            <w:r>
              <w:rPr>
                <w:rFonts w:ascii="Arial Narrow" w:hAnsi="Arial Narrow" w:cs="Arial"/>
              </w:rPr>
              <w:t xml:space="preserve"> al acceso a la información en relación a la solicitud de información sobre estudio de impacto ambiental. </w:t>
            </w:r>
          </w:p>
        </w:tc>
      </w:tr>
      <w:tr w:rsidR="00724EB3"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s="Arial"/>
              </w:rPr>
            </w:pPr>
            <w:r w:rsidRPr="00AE16EB">
              <w:rPr>
                <w:rFonts w:ascii="Arial Narrow" w:hAnsi="Arial Narrow" w:cs="Arial"/>
              </w:rPr>
              <w:t>PROBLEMA JURÍDICO</w:t>
            </w:r>
          </w:p>
        </w:tc>
      </w:tr>
      <w:tr w:rsidR="003A2F40" w:rsidTr="00DE1841">
        <w:trPr>
          <w:trHeight w:val="1043"/>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tcBorders>
          </w:tcPr>
          <w:p w:rsidR="003A2F40" w:rsidRPr="003A2F40" w:rsidRDefault="003A2F40" w:rsidP="003A2F40">
            <w:pPr>
              <w:jc w:val="both"/>
              <w:rPr>
                <w:rFonts w:ascii="Arial Narrow" w:hAnsi="Arial Narrow" w:cs="Arial"/>
                <w:b w:val="0"/>
                <w:caps w:val="0"/>
                <w:lang w:val="es-ES_tradnl"/>
              </w:rPr>
            </w:pPr>
            <w:r>
              <w:rPr>
                <w:rFonts w:ascii="Arial Narrow" w:hAnsi="Arial Narrow" w:cs="Arial"/>
                <w:b w:val="0"/>
                <w:caps w:val="0"/>
              </w:rPr>
              <w:t>El Consejo de Estado le competía e</w:t>
            </w:r>
            <w:r w:rsidRPr="003A2F40">
              <w:rPr>
                <w:rFonts w:ascii="Arial Narrow" w:hAnsi="Arial Narrow" w:cs="Arial"/>
                <w:b w:val="0"/>
                <w:caps w:val="0"/>
                <w:lang w:val="es-ES_tradnl"/>
              </w:rPr>
              <w:t>establecer  si  la  providencia  de  18  de  abril  de  2016 proferida por el Tribunal Administrativo de Antioquia, en la que negó el recurso de insistencia promovido por la accionante  contra el acto administrativo emitido por</w:t>
            </w:r>
            <w:r>
              <w:rPr>
                <w:rFonts w:ascii="Arial Narrow" w:hAnsi="Arial Narrow" w:cs="Arial"/>
                <w:b w:val="0"/>
                <w:caps w:val="0"/>
                <w:lang w:val="es-ES_tradnl"/>
              </w:rPr>
              <w:t xml:space="preserve"> la </w:t>
            </w:r>
            <w:r w:rsidRPr="003A2F40">
              <w:rPr>
                <w:rFonts w:ascii="Arial Narrow" w:hAnsi="Arial Narrow" w:cs="Arial"/>
                <w:b w:val="0"/>
                <w:caps w:val="0"/>
                <w:lang w:val="es-ES_tradnl"/>
              </w:rPr>
              <w:t xml:space="preserve">Corporación  Autónoma  Regional  de  las  cuencas  de  los  ríos </w:t>
            </w:r>
          </w:p>
          <w:p w:rsidR="003A2F40" w:rsidRPr="00AE16EB" w:rsidRDefault="003A2F40" w:rsidP="003A2F40">
            <w:pPr>
              <w:jc w:val="both"/>
              <w:rPr>
                <w:rFonts w:ascii="Arial Narrow" w:hAnsi="Arial Narrow" w:cs="Arial"/>
                <w:b w:val="0"/>
                <w:lang w:val="es-ES_tradnl"/>
              </w:rPr>
            </w:pPr>
            <w:r w:rsidRPr="003A2F40">
              <w:rPr>
                <w:rFonts w:ascii="Arial Narrow" w:hAnsi="Arial Narrow" w:cs="Arial"/>
                <w:b w:val="0"/>
                <w:caps w:val="0"/>
                <w:lang w:val="es-ES_tradnl"/>
              </w:rPr>
              <w:t xml:space="preserve">Negro y </w:t>
            </w:r>
            <w:proofErr w:type="spellStart"/>
            <w:r w:rsidRPr="003A2F40">
              <w:rPr>
                <w:rFonts w:ascii="Arial Narrow" w:hAnsi="Arial Narrow" w:cs="Arial"/>
                <w:b w:val="0"/>
                <w:caps w:val="0"/>
                <w:lang w:val="es-ES_tradnl"/>
              </w:rPr>
              <w:t>Nare</w:t>
            </w:r>
            <w:proofErr w:type="spellEnd"/>
            <w:r>
              <w:rPr>
                <w:rFonts w:ascii="Arial Narrow" w:hAnsi="Arial Narrow" w:cs="Arial"/>
                <w:b w:val="0"/>
                <w:caps w:val="0"/>
                <w:lang w:val="es-ES_tradnl"/>
              </w:rPr>
              <w:t xml:space="preserve"> (</w:t>
            </w:r>
            <w:r w:rsidRPr="003A2F40">
              <w:rPr>
                <w:rFonts w:ascii="Arial Narrow" w:hAnsi="Arial Narrow" w:cs="Arial"/>
                <w:b w:val="0"/>
                <w:caps w:val="0"/>
                <w:lang w:val="es-ES_tradnl"/>
              </w:rPr>
              <w:t>C</w:t>
            </w:r>
            <w:r>
              <w:rPr>
                <w:rFonts w:ascii="Arial Narrow" w:hAnsi="Arial Narrow" w:cs="Arial"/>
                <w:b w:val="0"/>
                <w:caps w:val="0"/>
                <w:lang w:val="es-ES_tradnl"/>
              </w:rPr>
              <w:t>ORNARE)</w:t>
            </w:r>
            <w:r w:rsidRPr="003A2F40">
              <w:rPr>
                <w:rFonts w:ascii="Arial Narrow" w:hAnsi="Arial Narrow" w:cs="Arial"/>
                <w:b w:val="0"/>
                <w:caps w:val="0"/>
                <w:lang w:val="es-ES_tradnl"/>
              </w:rPr>
              <w:t>, incurrió en defectos sustantivo y fáctico,  específicamente  en lo que hace relación  con  el  supuesto  carácter  reservado  del  estudio  de  impacto  ambiental pedido por la accionante.</w:t>
            </w:r>
          </w:p>
        </w:tc>
      </w:tr>
      <w:tr w:rsidR="00724EB3" w:rsidTr="000224F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s="Arial"/>
              </w:rPr>
            </w:pPr>
            <w:r w:rsidRPr="00AE16EB">
              <w:rPr>
                <w:rFonts w:ascii="Arial Narrow" w:hAnsi="Arial Narrow" w:cs="Arial"/>
              </w:rPr>
              <w:t xml:space="preserve">RESUMEN DE LA SENTENCIA </w:t>
            </w:r>
          </w:p>
        </w:tc>
      </w:tr>
      <w:tr w:rsidR="00724EB3" w:rsidRPr="003E5602" w:rsidTr="000224F6">
        <w:trPr>
          <w:trHeight w:val="915"/>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724EB3" w:rsidRDefault="006E6FAC" w:rsidP="009E1975">
            <w:pPr>
              <w:jc w:val="both"/>
              <w:rPr>
                <w:rFonts w:ascii="Arial Narrow" w:hAnsi="Arial Narrow" w:cs="Arial"/>
                <w:b w:val="0"/>
                <w:caps w:val="0"/>
              </w:rPr>
            </w:pPr>
            <w:r>
              <w:rPr>
                <w:rFonts w:ascii="Arial Narrow" w:hAnsi="Arial Narrow" w:cs="Arial"/>
                <w:b w:val="0"/>
                <w:caps w:val="0"/>
              </w:rPr>
              <w:t xml:space="preserve">En la sentencia, el Consejo de Estado analizó </w:t>
            </w:r>
            <w:r w:rsidR="00220C3B">
              <w:rPr>
                <w:rFonts w:ascii="Arial Narrow" w:hAnsi="Arial Narrow" w:cs="Arial"/>
                <w:b w:val="0"/>
                <w:caps w:val="0"/>
              </w:rPr>
              <w:t xml:space="preserve">la solicitud del accionante </w:t>
            </w:r>
            <w:r>
              <w:rPr>
                <w:rFonts w:ascii="Arial Narrow" w:hAnsi="Arial Narrow" w:cs="Arial"/>
                <w:b w:val="0"/>
                <w:caps w:val="0"/>
              </w:rPr>
              <w:t>a la Corporación Autónoma Regional de l</w:t>
            </w:r>
            <w:r w:rsidR="00220C3B">
              <w:rPr>
                <w:rFonts w:ascii="Arial Narrow" w:hAnsi="Arial Narrow" w:cs="Arial"/>
                <w:b w:val="0"/>
                <w:caps w:val="0"/>
              </w:rPr>
              <w:t xml:space="preserve">as cuencas de los ríos Negro y </w:t>
            </w:r>
            <w:proofErr w:type="spellStart"/>
            <w:r w:rsidR="00220C3B">
              <w:rPr>
                <w:rFonts w:ascii="Arial Narrow" w:hAnsi="Arial Narrow" w:cs="Arial"/>
                <w:b w:val="0"/>
                <w:caps w:val="0"/>
              </w:rPr>
              <w:t>Nare</w:t>
            </w:r>
            <w:proofErr w:type="spellEnd"/>
            <w:r w:rsidR="00220C3B">
              <w:rPr>
                <w:rFonts w:ascii="Arial Narrow" w:hAnsi="Arial Narrow" w:cs="Arial"/>
                <w:b w:val="0"/>
                <w:caps w:val="0"/>
              </w:rPr>
              <w:t xml:space="preserve"> copia del expediente en donde contenía los trámites de licencia ambiental adelantados por la empresa Suministros de Colombia </w:t>
            </w:r>
            <w:proofErr w:type="spellStart"/>
            <w:r w:rsidR="00220C3B">
              <w:rPr>
                <w:rFonts w:ascii="Arial Narrow" w:hAnsi="Arial Narrow" w:cs="Arial"/>
                <w:b w:val="0"/>
                <w:caps w:val="0"/>
              </w:rPr>
              <w:t>Sumico</w:t>
            </w:r>
            <w:proofErr w:type="spellEnd"/>
            <w:r w:rsidR="00220C3B">
              <w:rPr>
                <w:rFonts w:ascii="Arial Narrow" w:hAnsi="Arial Narrow" w:cs="Arial"/>
                <w:b w:val="0"/>
                <w:caps w:val="0"/>
              </w:rPr>
              <w:t xml:space="preserve"> S.A.S. para la construcción de la plante productora</w:t>
            </w:r>
            <w:r w:rsidR="0055117C">
              <w:rPr>
                <w:rFonts w:ascii="Arial Narrow" w:hAnsi="Arial Narrow" w:cs="Arial"/>
                <w:b w:val="0"/>
                <w:caps w:val="0"/>
              </w:rPr>
              <w:t>, la cual fue negada bajo del argumento de ser información reservada</w:t>
            </w:r>
            <w:r w:rsidR="00220C3B">
              <w:rPr>
                <w:rFonts w:ascii="Arial Narrow" w:hAnsi="Arial Narrow" w:cs="Arial"/>
                <w:b w:val="0"/>
                <w:caps w:val="0"/>
              </w:rPr>
              <w:t xml:space="preserve">. </w:t>
            </w:r>
            <w:r w:rsidR="009C5571">
              <w:rPr>
                <w:rFonts w:ascii="Arial Narrow" w:hAnsi="Arial Narrow" w:cs="Arial"/>
                <w:b w:val="0"/>
                <w:caps w:val="0"/>
              </w:rPr>
              <w:t xml:space="preserve">Frente al asunto, el Consejo de Estado </w:t>
            </w:r>
            <w:r w:rsidR="009E1975">
              <w:rPr>
                <w:rFonts w:ascii="Arial Narrow" w:hAnsi="Arial Narrow" w:cs="Arial"/>
                <w:b w:val="0"/>
                <w:caps w:val="0"/>
              </w:rPr>
              <w:t xml:space="preserve">analiza que </w:t>
            </w:r>
            <w:r w:rsidR="009C5571">
              <w:rPr>
                <w:rFonts w:ascii="Arial Narrow" w:hAnsi="Arial Narrow" w:cs="Arial"/>
                <w:b w:val="0"/>
                <w:caps w:val="0"/>
              </w:rPr>
              <w:t>el artículo 74 de la Ley 99 d</w:t>
            </w:r>
            <w:r w:rsidR="009E1975">
              <w:rPr>
                <w:rFonts w:ascii="Arial Narrow" w:hAnsi="Arial Narrow" w:cs="Arial"/>
                <w:b w:val="0"/>
                <w:caps w:val="0"/>
              </w:rPr>
              <w:t xml:space="preserve">e 1993 la cual regula el derecho de petición de información frente a información ambiental </w:t>
            </w:r>
            <w:r w:rsidR="009E1975" w:rsidRPr="009E1975">
              <w:rPr>
                <w:rFonts w:ascii="Arial Narrow" w:hAnsi="Arial Narrow" w:cs="Arial"/>
                <w:b w:val="0"/>
                <w:caps w:val="0"/>
              </w:rPr>
              <w:t xml:space="preserve">no  define  el  carácter  público  de  los  documentos ambientales, ni determina la obligación dentro de los trámites de licencia ambiental de publicar la información sin reserva </w:t>
            </w:r>
            <w:r w:rsidR="003C0F51">
              <w:rPr>
                <w:rFonts w:ascii="Arial Narrow" w:hAnsi="Arial Narrow" w:cs="Arial"/>
                <w:b w:val="0"/>
                <w:caps w:val="0"/>
              </w:rPr>
              <w:t>alguna</w:t>
            </w:r>
            <w:r w:rsidR="009E1975">
              <w:rPr>
                <w:rFonts w:ascii="Arial Narrow" w:hAnsi="Arial Narrow" w:cs="Arial"/>
                <w:b w:val="0"/>
                <w:caps w:val="0"/>
              </w:rPr>
              <w:t xml:space="preserve">. No obstante, el Consejo tiene en cuenta que esto no implica que todo lo que reposa en el expediente ambiental puede ser </w:t>
            </w:r>
            <w:r w:rsidR="003C0F51">
              <w:rPr>
                <w:rFonts w:ascii="Arial Narrow" w:hAnsi="Arial Narrow" w:cs="Arial"/>
                <w:b w:val="0"/>
                <w:caps w:val="0"/>
              </w:rPr>
              <w:t>público</w:t>
            </w:r>
            <w:r w:rsidR="009E1975">
              <w:rPr>
                <w:rFonts w:ascii="Arial Narrow" w:hAnsi="Arial Narrow" w:cs="Arial"/>
                <w:b w:val="0"/>
                <w:caps w:val="0"/>
              </w:rPr>
              <w:t>, ya que puede haber documentos sujetos a reserva en razón al secreto comercial o industrial.</w:t>
            </w:r>
          </w:p>
          <w:p w:rsidR="009E1975" w:rsidRDefault="009E1975" w:rsidP="009E1975">
            <w:pPr>
              <w:jc w:val="both"/>
              <w:rPr>
                <w:rFonts w:ascii="Arial Narrow" w:hAnsi="Arial Narrow" w:cs="Arial"/>
                <w:b w:val="0"/>
                <w:caps w:val="0"/>
              </w:rPr>
            </w:pPr>
          </w:p>
          <w:p w:rsidR="009E1975" w:rsidRPr="009E1975" w:rsidRDefault="009E1975" w:rsidP="009E1975">
            <w:pPr>
              <w:jc w:val="both"/>
              <w:rPr>
                <w:rFonts w:ascii="Arial Narrow" w:hAnsi="Arial Narrow" w:cs="Arial"/>
                <w:b w:val="0"/>
                <w:caps w:val="0"/>
              </w:rPr>
            </w:pPr>
            <w:r>
              <w:rPr>
                <w:rFonts w:ascii="Arial Narrow" w:hAnsi="Arial Narrow" w:cs="Arial"/>
                <w:b w:val="0"/>
                <w:caps w:val="0"/>
              </w:rPr>
              <w:t xml:space="preserve">Sin embargo, cuando se está hablando de los estudios de impacto </w:t>
            </w:r>
            <w:r w:rsidR="003C0F51">
              <w:rPr>
                <w:rFonts w:ascii="Arial Narrow" w:hAnsi="Arial Narrow" w:cs="Arial"/>
                <w:b w:val="0"/>
                <w:caps w:val="0"/>
              </w:rPr>
              <w:t>ambiental</w:t>
            </w:r>
            <w:r>
              <w:rPr>
                <w:rFonts w:ascii="Arial Narrow" w:hAnsi="Arial Narrow" w:cs="Arial"/>
                <w:b w:val="0"/>
                <w:caps w:val="0"/>
              </w:rPr>
              <w:t xml:space="preserve"> </w:t>
            </w:r>
            <w:r w:rsidRPr="009E1975">
              <w:rPr>
                <w:rFonts w:ascii="Arial Narrow" w:hAnsi="Arial Narrow" w:cs="Arial"/>
                <w:b w:val="0"/>
                <w:caps w:val="0"/>
              </w:rPr>
              <w:t xml:space="preserve">los  cuales deben  ser  entendidos  como  instrumentos  básicos  para  la  toma  de decisiones  sobre  los  proyectos,  obras  o  actividades  que  requieren  licencia </w:t>
            </w:r>
          </w:p>
          <w:p w:rsidR="009E1975" w:rsidRDefault="009E1975" w:rsidP="0076105A">
            <w:pPr>
              <w:jc w:val="both"/>
              <w:rPr>
                <w:rFonts w:ascii="Arial Narrow" w:hAnsi="Arial Narrow" w:cs="Arial"/>
                <w:b w:val="0"/>
                <w:caps w:val="0"/>
              </w:rPr>
            </w:pPr>
            <w:r>
              <w:rPr>
                <w:rFonts w:ascii="Arial Narrow" w:hAnsi="Arial Narrow" w:cs="Arial"/>
                <w:b w:val="0"/>
                <w:caps w:val="0"/>
              </w:rPr>
              <w:t xml:space="preserve">Ambiental. </w:t>
            </w:r>
            <w:r w:rsidRPr="009E1975">
              <w:rPr>
                <w:rFonts w:ascii="Arial Narrow" w:hAnsi="Arial Narrow" w:cs="Arial"/>
                <w:b w:val="0"/>
                <w:caps w:val="0"/>
              </w:rPr>
              <w:t>El  artículo  24  de  l</w:t>
            </w:r>
            <w:r w:rsidR="0076105A">
              <w:rPr>
                <w:rFonts w:ascii="Arial Narrow" w:hAnsi="Arial Narrow" w:cs="Arial"/>
                <w:b w:val="0"/>
                <w:caps w:val="0"/>
              </w:rPr>
              <w:t>a  Ley  1755  de  2014</w:t>
            </w:r>
            <w:r w:rsidRPr="009E1975">
              <w:rPr>
                <w:rFonts w:ascii="Arial Narrow" w:hAnsi="Arial Narrow" w:cs="Arial"/>
                <w:b w:val="0"/>
                <w:caps w:val="0"/>
              </w:rPr>
              <w:t xml:space="preserve"> en </w:t>
            </w:r>
            <w:r w:rsidR="0076105A">
              <w:rPr>
                <w:rFonts w:ascii="Arial Narrow" w:hAnsi="Arial Narrow" w:cs="Arial"/>
                <w:b w:val="0"/>
                <w:caps w:val="0"/>
              </w:rPr>
              <w:t xml:space="preserve">su </w:t>
            </w:r>
            <w:r w:rsidRPr="009E1975">
              <w:rPr>
                <w:rFonts w:ascii="Arial Narrow" w:hAnsi="Arial Narrow" w:cs="Arial"/>
                <w:b w:val="0"/>
                <w:caps w:val="0"/>
              </w:rPr>
              <w:t>numeral  4,  clasificó  de manera  puntal  la  información  de  carácter  reservado  dentro  de  la  que  no  se encuentra  de  manera  expresa  el  estudio  de  impacto  ambiental  por  lo  que  su</w:t>
            </w:r>
            <w:r>
              <w:rPr>
                <w:rFonts w:ascii="Arial Narrow" w:hAnsi="Arial Narrow" w:cs="Arial"/>
                <w:b w:val="0"/>
                <w:caps w:val="0"/>
              </w:rPr>
              <w:t xml:space="preserve"> </w:t>
            </w:r>
            <w:r w:rsidRPr="009E1975">
              <w:rPr>
                <w:rFonts w:ascii="Arial Narrow" w:hAnsi="Arial Narrow" w:cs="Arial"/>
                <w:b w:val="0"/>
                <w:caps w:val="0"/>
              </w:rPr>
              <w:t>acceso es de interés general</w:t>
            </w:r>
            <w:r>
              <w:rPr>
                <w:rFonts w:ascii="Arial Narrow" w:hAnsi="Arial Narrow" w:cs="Arial"/>
                <w:b w:val="0"/>
                <w:caps w:val="0"/>
              </w:rPr>
              <w:t xml:space="preserve">. A su vez analiza que en el marco de la ley 1712 de 2014 </w:t>
            </w:r>
            <w:r w:rsidRPr="009E1975">
              <w:rPr>
                <w:rFonts w:ascii="Arial Narrow" w:hAnsi="Arial Narrow" w:cs="Arial"/>
                <w:b w:val="0"/>
                <w:caps w:val="0"/>
              </w:rPr>
              <w:t>Tampoco pueden  ser catalogados estos documentos como información  pública,  clasificada  y reservada</w:t>
            </w:r>
            <w:r>
              <w:rPr>
                <w:rFonts w:ascii="Arial Narrow" w:hAnsi="Arial Narrow" w:cs="Arial"/>
                <w:b w:val="0"/>
                <w:caps w:val="0"/>
              </w:rPr>
              <w:t>,</w:t>
            </w:r>
            <w:r w:rsidR="00A452CC">
              <w:rPr>
                <w:rFonts w:ascii="Arial Narrow" w:hAnsi="Arial Narrow" w:cs="Arial"/>
                <w:b w:val="0"/>
                <w:caps w:val="0"/>
              </w:rPr>
              <w:t xml:space="preserve"> </w:t>
            </w:r>
            <w:r w:rsidRPr="009E1975">
              <w:rPr>
                <w:rFonts w:ascii="Arial Narrow" w:hAnsi="Arial Narrow" w:cs="Arial"/>
                <w:b w:val="0"/>
                <w:caps w:val="0"/>
              </w:rPr>
              <w:t>pues  por  la  propia  naturaleza  de  los estudios de impacto ambiental se desvirtúa cualquier posibilidad de reserva sobre los mismos.</w:t>
            </w:r>
            <w:r w:rsidR="0076105A">
              <w:rPr>
                <w:rFonts w:ascii="Arial Narrow" w:hAnsi="Arial Narrow" w:cs="Arial"/>
                <w:b w:val="0"/>
                <w:caps w:val="0"/>
              </w:rPr>
              <w:t xml:space="preserve"> </w:t>
            </w:r>
          </w:p>
          <w:p w:rsidR="0076105A" w:rsidRDefault="0076105A" w:rsidP="0076105A">
            <w:pPr>
              <w:jc w:val="both"/>
              <w:rPr>
                <w:rFonts w:ascii="Arial Narrow" w:hAnsi="Arial Narrow" w:cs="Arial"/>
                <w:b w:val="0"/>
                <w:caps w:val="0"/>
              </w:rPr>
            </w:pPr>
          </w:p>
          <w:p w:rsidR="0076105A" w:rsidRDefault="0076105A" w:rsidP="0076105A">
            <w:pPr>
              <w:jc w:val="both"/>
              <w:rPr>
                <w:rFonts w:ascii="Arial Narrow" w:hAnsi="Arial Narrow" w:cs="Arial"/>
                <w:b w:val="0"/>
                <w:caps w:val="0"/>
              </w:rPr>
            </w:pPr>
            <w:r>
              <w:rPr>
                <w:rFonts w:ascii="Arial Narrow" w:hAnsi="Arial Narrow" w:cs="Arial"/>
                <w:b w:val="0"/>
                <w:caps w:val="0"/>
              </w:rPr>
              <w:t xml:space="preserve">El Consejo de Estado indica que la reserva </w:t>
            </w:r>
            <w:r w:rsidRPr="0076105A">
              <w:rPr>
                <w:rFonts w:ascii="Arial Narrow" w:hAnsi="Arial Narrow" w:cs="Arial"/>
                <w:b w:val="0"/>
                <w:caps w:val="0"/>
              </w:rPr>
              <w:t>debe  obedecer  a  un  fin  constitucionalmente legítimo,  importante  e  imperioso,  y  que  la  restricción  sea  razonable y proporcionada</w:t>
            </w:r>
            <w:r>
              <w:rPr>
                <w:rFonts w:ascii="Arial Narrow" w:hAnsi="Arial Narrow" w:cs="Arial"/>
                <w:b w:val="0"/>
                <w:caps w:val="0"/>
              </w:rPr>
              <w:t xml:space="preserve">, por lo cual debe haber una prohibición expresa que restrinja el </w:t>
            </w:r>
            <w:r w:rsidRPr="0076105A">
              <w:rPr>
                <w:rFonts w:ascii="Arial Narrow" w:hAnsi="Arial Narrow" w:cs="Arial"/>
                <w:b w:val="0"/>
                <w:caps w:val="0"/>
              </w:rPr>
              <w:t xml:space="preserve">  derecho  al  acceso  a  la</w:t>
            </w:r>
            <w:r>
              <w:rPr>
                <w:rFonts w:ascii="Arial Narrow" w:hAnsi="Arial Narrow" w:cs="Arial"/>
                <w:b w:val="0"/>
                <w:caps w:val="0"/>
              </w:rPr>
              <w:t xml:space="preserve">  información y en el caso en concreto </w:t>
            </w:r>
            <w:r w:rsidRPr="0076105A">
              <w:rPr>
                <w:rFonts w:ascii="Arial Narrow" w:hAnsi="Arial Narrow" w:cs="Arial"/>
                <w:b w:val="0"/>
                <w:caps w:val="0"/>
              </w:rPr>
              <w:t>no se encuentra prohibición expresa de</w:t>
            </w:r>
            <w:r>
              <w:rPr>
                <w:rFonts w:ascii="Arial Narrow" w:hAnsi="Arial Narrow" w:cs="Arial"/>
                <w:b w:val="0"/>
                <w:caps w:val="0"/>
              </w:rPr>
              <w:t xml:space="preserve"> l</w:t>
            </w:r>
            <w:r w:rsidRPr="0076105A">
              <w:rPr>
                <w:rFonts w:ascii="Arial Narrow" w:hAnsi="Arial Narrow" w:cs="Arial"/>
                <w:b w:val="0"/>
                <w:caps w:val="0"/>
              </w:rPr>
              <w:t>os documentos con carácter ambienta</w:t>
            </w:r>
            <w:r>
              <w:rPr>
                <w:rFonts w:ascii="Arial Narrow" w:hAnsi="Arial Narrow" w:cs="Arial"/>
                <w:b w:val="0"/>
                <w:caps w:val="0"/>
              </w:rPr>
              <w:t xml:space="preserve">l. </w:t>
            </w:r>
          </w:p>
          <w:p w:rsidR="0076105A" w:rsidRDefault="0076105A" w:rsidP="0076105A">
            <w:pPr>
              <w:jc w:val="both"/>
              <w:rPr>
                <w:rFonts w:ascii="Arial Narrow" w:hAnsi="Arial Narrow" w:cs="Arial"/>
                <w:b w:val="0"/>
                <w:caps w:val="0"/>
              </w:rPr>
            </w:pPr>
          </w:p>
          <w:p w:rsidR="0076105A" w:rsidRPr="00AE16EB" w:rsidRDefault="0076105A" w:rsidP="0076105A">
            <w:pPr>
              <w:jc w:val="both"/>
              <w:rPr>
                <w:rFonts w:ascii="Arial Narrow" w:eastAsia="Times New Roman" w:hAnsi="Arial Narrow" w:cs="Times New Roman"/>
                <w:bCs w:val="0"/>
                <w:caps w:val="0"/>
                <w:sz w:val="24"/>
                <w:szCs w:val="24"/>
                <w:lang w:val="es-ES" w:eastAsia="es-CO"/>
              </w:rPr>
            </w:pPr>
            <w:r>
              <w:rPr>
                <w:rFonts w:ascii="Arial Narrow" w:hAnsi="Arial Narrow" w:cs="Arial"/>
                <w:b w:val="0"/>
                <w:caps w:val="0"/>
              </w:rPr>
              <w:t xml:space="preserve">El Consejo de Estado concluye amparar el derecho fundamental al acceso a la información invocado por el demandante. </w:t>
            </w:r>
          </w:p>
        </w:tc>
      </w:tr>
      <w:tr w:rsidR="00724EB3" w:rsidRPr="003E5602" w:rsidTr="000224F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724EB3" w:rsidRPr="00AE16EB" w:rsidRDefault="00724EB3" w:rsidP="000224F6">
            <w:pPr>
              <w:rPr>
                <w:rFonts w:ascii="Arial Narrow" w:hAnsi="Arial Narrow"/>
                <w:caps w:val="0"/>
              </w:rPr>
            </w:pPr>
            <w:r w:rsidRPr="00AE16EB">
              <w:rPr>
                <w:rFonts w:ascii="Arial Narrow" w:hAnsi="Arial Narrow"/>
                <w:caps w:val="0"/>
              </w:rPr>
              <w:t>Resuelve</w:t>
            </w:r>
          </w:p>
        </w:tc>
      </w:tr>
      <w:tr w:rsidR="00724EB3" w:rsidRPr="003E5602" w:rsidTr="000224F6">
        <w:trPr>
          <w:trHeight w:val="85"/>
        </w:trPr>
        <w:tc>
          <w:tcPr>
            <w:cnfStyle w:val="001000000000" w:firstRow="0" w:lastRow="0" w:firstColumn="1" w:lastColumn="0" w:oddVBand="0" w:evenVBand="0" w:oddHBand="0" w:evenHBand="0" w:firstRowFirstColumn="0" w:firstRowLastColumn="0" w:lastRowFirstColumn="0" w:lastRowLastColumn="0"/>
            <w:tcW w:w="9956" w:type="dxa"/>
            <w:gridSpan w:val="2"/>
            <w:tcBorders>
              <w:top w:val="single" w:sz="4" w:space="0" w:color="auto"/>
              <w:left w:val="single" w:sz="4" w:space="0" w:color="auto"/>
              <w:bottom w:val="single" w:sz="4" w:space="0" w:color="auto"/>
              <w:right w:val="single" w:sz="4" w:space="0" w:color="auto"/>
            </w:tcBorders>
          </w:tcPr>
          <w:p w:rsidR="00724EB3" w:rsidRPr="00AE16EB" w:rsidRDefault="0076105A" w:rsidP="009275ED">
            <w:pPr>
              <w:rPr>
                <w:rFonts w:ascii="Arial Narrow" w:hAnsi="Arial Narrow"/>
                <w:b w:val="0"/>
                <w:caps w:val="0"/>
              </w:rPr>
            </w:pPr>
            <w:r>
              <w:rPr>
                <w:rFonts w:ascii="Arial Narrow" w:hAnsi="Arial Narrow"/>
                <w:b w:val="0"/>
                <w:caps w:val="0"/>
              </w:rPr>
              <w:t xml:space="preserve">El Consejo de Estado decide amparar el </w:t>
            </w:r>
            <w:r w:rsidRPr="0076105A">
              <w:rPr>
                <w:rFonts w:ascii="Arial Narrow" w:hAnsi="Arial Narrow"/>
                <w:b w:val="0"/>
                <w:caps w:val="0"/>
              </w:rPr>
              <w:t xml:space="preserve"> derecho fundamental  de acceso  a la información  de la </w:t>
            </w:r>
            <w:r w:rsidR="009275ED">
              <w:rPr>
                <w:rFonts w:ascii="Arial Narrow" w:hAnsi="Arial Narrow"/>
                <w:b w:val="0"/>
                <w:caps w:val="0"/>
              </w:rPr>
              <w:t>accionante.</w:t>
            </w:r>
          </w:p>
        </w:tc>
      </w:tr>
    </w:tbl>
    <w:p w:rsidR="00724EB3" w:rsidRPr="00724EB3" w:rsidRDefault="00724EB3" w:rsidP="00724EB3">
      <w:pPr>
        <w:rPr>
          <w:b/>
        </w:rPr>
      </w:pPr>
    </w:p>
    <w:sectPr w:rsidR="00724EB3" w:rsidRPr="00724E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53E"/>
    <w:multiLevelType w:val="hybridMultilevel"/>
    <w:tmpl w:val="C6B0DAB6"/>
    <w:lvl w:ilvl="0" w:tplc="6E309632">
      <w:start w:val="9"/>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2002FB"/>
    <w:multiLevelType w:val="hybridMultilevel"/>
    <w:tmpl w:val="65C0FC5E"/>
    <w:lvl w:ilvl="0" w:tplc="6E309632">
      <w:start w:val="9"/>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6D5499"/>
    <w:multiLevelType w:val="hybridMultilevel"/>
    <w:tmpl w:val="7390DC0C"/>
    <w:lvl w:ilvl="0" w:tplc="6E309632">
      <w:start w:val="9"/>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B2"/>
    <w:rsid w:val="00080CD2"/>
    <w:rsid w:val="000B2E10"/>
    <w:rsid w:val="0018263C"/>
    <w:rsid w:val="001A61DC"/>
    <w:rsid w:val="00220C3B"/>
    <w:rsid w:val="002467B2"/>
    <w:rsid w:val="00263284"/>
    <w:rsid w:val="002658ED"/>
    <w:rsid w:val="002F77F6"/>
    <w:rsid w:val="003013B5"/>
    <w:rsid w:val="0035655F"/>
    <w:rsid w:val="0036604D"/>
    <w:rsid w:val="003A2F40"/>
    <w:rsid w:val="003C0F51"/>
    <w:rsid w:val="003E5602"/>
    <w:rsid w:val="00490519"/>
    <w:rsid w:val="0055117C"/>
    <w:rsid w:val="005E3FF3"/>
    <w:rsid w:val="006E6FAC"/>
    <w:rsid w:val="00724EB3"/>
    <w:rsid w:val="00744032"/>
    <w:rsid w:val="00746037"/>
    <w:rsid w:val="0076105A"/>
    <w:rsid w:val="007D0AB9"/>
    <w:rsid w:val="009275ED"/>
    <w:rsid w:val="00951D7A"/>
    <w:rsid w:val="009C5571"/>
    <w:rsid w:val="009E1975"/>
    <w:rsid w:val="00A452CC"/>
    <w:rsid w:val="00AB43B2"/>
    <w:rsid w:val="00AE16EB"/>
    <w:rsid w:val="00B10FB1"/>
    <w:rsid w:val="00BE14CF"/>
    <w:rsid w:val="00C01FC1"/>
    <w:rsid w:val="00C67903"/>
    <w:rsid w:val="00C8152A"/>
    <w:rsid w:val="00D70B3F"/>
    <w:rsid w:val="00ED593C"/>
    <w:rsid w:val="00ED7F12"/>
    <w:rsid w:val="00FA78BA"/>
    <w:rsid w:val="00FF24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C9C80-B4AE-468D-8021-7730A822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3E56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3E56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3E56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95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9267">
      <w:bodyDiv w:val="1"/>
      <w:marLeft w:val="0"/>
      <w:marRight w:val="0"/>
      <w:marTop w:val="0"/>
      <w:marBottom w:val="0"/>
      <w:divBdr>
        <w:top w:val="none" w:sz="0" w:space="0" w:color="auto"/>
        <w:left w:val="none" w:sz="0" w:space="0" w:color="auto"/>
        <w:bottom w:val="none" w:sz="0" w:space="0" w:color="auto"/>
        <w:right w:val="none" w:sz="0" w:space="0" w:color="auto"/>
      </w:divBdr>
      <w:divsChild>
        <w:div w:id="1715814271">
          <w:marLeft w:val="0"/>
          <w:marRight w:val="0"/>
          <w:marTop w:val="0"/>
          <w:marBottom w:val="0"/>
          <w:divBdr>
            <w:top w:val="none" w:sz="0" w:space="0" w:color="auto"/>
            <w:left w:val="none" w:sz="0" w:space="0" w:color="auto"/>
            <w:bottom w:val="none" w:sz="0" w:space="0" w:color="auto"/>
            <w:right w:val="none" w:sz="0" w:space="0" w:color="auto"/>
          </w:divBdr>
          <w:divsChild>
            <w:div w:id="92676258">
              <w:marLeft w:val="0"/>
              <w:marRight w:val="0"/>
              <w:marTop w:val="0"/>
              <w:marBottom w:val="0"/>
              <w:divBdr>
                <w:top w:val="none" w:sz="0" w:space="0" w:color="auto"/>
                <w:left w:val="none" w:sz="0" w:space="0" w:color="auto"/>
                <w:bottom w:val="none" w:sz="0" w:space="0" w:color="auto"/>
                <w:right w:val="none" w:sz="0" w:space="0" w:color="auto"/>
              </w:divBdr>
              <w:divsChild>
                <w:div w:id="748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21897">
      <w:bodyDiv w:val="1"/>
      <w:marLeft w:val="0"/>
      <w:marRight w:val="0"/>
      <w:marTop w:val="0"/>
      <w:marBottom w:val="0"/>
      <w:divBdr>
        <w:top w:val="none" w:sz="0" w:space="0" w:color="auto"/>
        <w:left w:val="none" w:sz="0" w:space="0" w:color="auto"/>
        <w:bottom w:val="none" w:sz="0" w:space="0" w:color="auto"/>
        <w:right w:val="none" w:sz="0" w:space="0" w:color="auto"/>
      </w:divBdr>
      <w:divsChild>
        <w:div w:id="1384714054">
          <w:marLeft w:val="0"/>
          <w:marRight w:val="0"/>
          <w:marTop w:val="0"/>
          <w:marBottom w:val="0"/>
          <w:divBdr>
            <w:top w:val="none" w:sz="0" w:space="0" w:color="auto"/>
            <w:left w:val="none" w:sz="0" w:space="0" w:color="auto"/>
            <w:bottom w:val="none" w:sz="0" w:space="0" w:color="auto"/>
            <w:right w:val="none" w:sz="0" w:space="0" w:color="auto"/>
          </w:divBdr>
          <w:divsChild>
            <w:div w:id="580261691">
              <w:marLeft w:val="0"/>
              <w:marRight w:val="0"/>
              <w:marTop w:val="0"/>
              <w:marBottom w:val="0"/>
              <w:divBdr>
                <w:top w:val="none" w:sz="0" w:space="0" w:color="auto"/>
                <w:left w:val="none" w:sz="0" w:space="0" w:color="auto"/>
                <w:bottom w:val="none" w:sz="0" w:space="0" w:color="auto"/>
                <w:right w:val="none" w:sz="0" w:space="0" w:color="auto"/>
              </w:divBdr>
              <w:divsChild>
                <w:div w:id="848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2757">
      <w:bodyDiv w:val="1"/>
      <w:marLeft w:val="0"/>
      <w:marRight w:val="0"/>
      <w:marTop w:val="0"/>
      <w:marBottom w:val="0"/>
      <w:divBdr>
        <w:top w:val="none" w:sz="0" w:space="0" w:color="auto"/>
        <w:left w:val="none" w:sz="0" w:space="0" w:color="auto"/>
        <w:bottom w:val="none" w:sz="0" w:space="0" w:color="auto"/>
        <w:right w:val="none" w:sz="0" w:space="0" w:color="auto"/>
      </w:divBdr>
      <w:divsChild>
        <w:div w:id="937522228">
          <w:marLeft w:val="0"/>
          <w:marRight w:val="0"/>
          <w:marTop w:val="0"/>
          <w:marBottom w:val="0"/>
          <w:divBdr>
            <w:top w:val="none" w:sz="0" w:space="0" w:color="auto"/>
            <w:left w:val="none" w:sz="0" w:space="0" w:color="auto"/>
            <w:bottom w:val="none" w:sz="0" w:space="0" w:color="auto"/>
            <w:right w:val="none" w:sz="0" w:space="0" w:color="auto"/>
          </w:divBdr>
          <w:divsChild>
            <w:div w:id="534467111">
              <w:marLeft w:val="0"/>
              <w:marRight w:val="0"/>
              <w:marTop w:val="0"/>
              <w:marBottom w:val="0"/>
              <w:divBdr>
                <w:top w:val="none" w:sz="0" w:space="0" w:color="auto"/>
                <w:left w:val="none" w:sz="0" w:space="0" w:color="auto"/>
                <w:bottom w:val="none" w:sz="0" w:space="0" w:color="auto"/>
                <w:right w:val="none" w:sz="0" w:space="0" w:color="auto"/>
              </w:divBdr>
              <w:divsChild>
                <w:div w:id="3728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98CC73B1-7851-4A47-9DC9-EC75B9E246A1}"/>
</file>

<file path=customXml/itemProps2.xml><?xml version="1.0" encoding="utf-8"?>
<ds:datastoreItem xmlns:ds="http://schemas.openxmlformats.org/officeDocument/2006/customXml" ds:itemID="{7C1BF842-6FC2-4CC2-8B6B-FA5BC2E207EF}"/>
</file>

<file path=customXml/itemProps3.xml><?xml version="1.0" encoding="utf-8"?>
<ds:datastoreItem xmlns:ds="http://schemas.openxmlformats.org/officeDocument/2006/customXml" ds:itemID="{ADD97B85-EDD3-4E09-9F54-814EAE41D72A}"/>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11647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Viviana Fierro Barreto</dc:creator>
  <cp:keywords/>
  <dc:description/>
  <cp:lastModifiedBy>Laura Juliana Castillo Castillo</cp:lastModifiedBy>
  <cp:revision>2</cp:revision>
  <dcterms:created xsi:type="dcterms:W3CDTF">2017-05-05T18:34:00Z</dcterms:created>
  <dcterms:modified xsi:type="dcterms:W3CDTF">2017-05-05T18:34:00Z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