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EE" w:rsidRPr="008F4832" w:rsidRDefault="00097BDE" w:rsidP="008F4832">
      <w:pPr>
        <w:spacing w:after="0"/>
        <w:jc w:val="center"/>
        <w:rPr>
          <w:rStyle w:val="Ttulodellibro"/>
          <w:rFonts w:ascii="Arial" w:hAnsi="Arial" w:cs="Arial"/>
          <w:color w:val="4F81BD" w:themeColor="accent1"/>
          <w:sz w:val="24"/>
          <w:szCs w:val="24"/>
          <w:u w:val="single"/>
        </w:rPr>
      </w:pPr>
      <w:r w:rsidRPr="008F4832">
        <w:rPr>
          <w:rStyle w:val="Ttulodellibro"/>
          <w:rFonts w:ascii="Arial" w:hAnsi="Arial" w:cs="Arial"/>
          <w:color w:val="4F81BD" w:themeColor="accent1"/>
          <w:sz w:val="24"/>
          <w:szCs w:val="24"/>
          <w:u w:val="single"/>
        </w:rPr>
        <w:t>Tercer</w:t>
      </w:r>
      <w:r w:rsidR="00AC7955" w:rsidRPr="008F4832">
        <w:rPr>
          <w:rStyle w:val="Ttulodellibro"/>
          <w:rFonts w:ascii="Arial" w:hAnsi="Arial" w:cs="Arial"/>
          <w:color w:val="4F81BD" w:themeColor="accent1"/>
          <w:sz w:val="24"/>
          <w:szCs w:val="24"/>
          <w:u w:val="single"/>
        </w:rPr>
        <w:t xml:space="preserve"> Debate Temático</w:t>
      </w:r>
    </w:p>
    <w:p w:rsidR="00AC7955" w:rsidRPr="008F4832" w:rsidRDefault="00AC7955" w:rsidP="008F4832">
      <w:pPr>
        <w:spacing w:after="0"/>
        <w:jc w:val="center"/>
        <w:rPr>
          <w:rFonts w:ascii="Arial" w:hAnsi="Arial" w:cs="Arial"/>
          <w:b/>
          <w:sz w:val="24"/>
          <w:szCs w:val="24"/>
          <w:u w:val="single"/>
        </w:rPr>
      </w:pPr>
    </w:p>
    <w:p w:rsidR="00AC7955" w:rsidRPr="008F4832" w:rsidRDefault="00AC7955" w:rsidP="008F4832">
      <w:pPr>
        <w:spacing w:after="0"/>
        <w:jc w:val="center"/>
        <w:rPr>
          <w:rFonts w:ascii="Arial" w:hAnsi="Arial" w:cs="Arial"/>
          <w:b/>
          <w:sz w:val="24"/>
          <w:szCs w:val="24"/>
        </w:rPr>
      </w:pPr>
      <w:r w:rsidRPr="008F4832">
        <w:rPr>
          <w:rFonts w:ascii="Arial" w:hAnsi="Arial" w:cs="Arial"/>
          <w:b/>
          <w:sz w:val="24"/>
          <w:szCs w:val="24"/>
        </w:rPr>
        <w:t xml:space="preserve">Hoja de Datos </w:t>
      </w:r>
    </w:p>
    <w:p w:rsidR="00AC7955" w:rsidRPr="008F4832" w:rsidRDefault="00BA1FDB" w:rsidP="008F4832">
      <w:pPr>
        <w:spacing w:after="0"/>
        <w:jc w:val="center"/>
        <w:rPr>
          <w:rFonts w:ascii="Arial" w:hAnsi="Arial" w:cs="Arial"/>
          <w:b/>
          <w:sz w:val="24"/>
          <w:szCs w:val="24"/>
          <w:u w:val="single"/>
        </w:rPr>
      </w:pPr>
      <w:r>
        <w:rPr>
          <w:rFonts w:ascii="Arial" w:hAnsi="Arial" w:cs="Arial"/>
          <w:b/>
          <w:sz w:val="24"/>
          <w:szCs w:val="24"/>
          <w:u w:val="single"/>
        </w:rPr>
        <w:t>BRASIL</w:t>
      </w:r>
      <w:bookmarkStart w:id="0" w:name="_GoBack"/>
      <w:bookmarkEnd w:id="0"/>
    </w:p>
    <w:p w:rsidR="00522F6E" w:rsidRPr="008F4832" w:rsidRDefault="00522F6E" w:rsidP="008F4832">
      <w:pPr>
        <w:pStyle w:val="Prrafodelista"/>
        <w:spacing w:after="0"/>
        <w:jc w:val="both"/>
        <w:rPr>
          <w:rFonts w:ascii="Arial" w:hAnsi="Arial" w:cs="Arial"/>
          <w:b/>
          <w:sz w:val="24"/>
          <w:szCs w:val="24"/>
        </w:rPr>
      </w:pPr>
    </w:p>
    <w:tbl>
      <w:tblPr>
        <w:tblStyle w:val="Listaclara-nfasis2"/>
        <w:tblW w:w="5000" w:type="pct"/>
        <w:tblLook w:val="04A0" w:firstRow="1" w:lastRow="0" w:firstColumn="1" w:lastColumn="0" w:noHBand="0" w:noVBand="1"/>
      </w:tblPr>
      <w:tblGrid>
        <w:gridCol w:w="1885"/>
        <w:gridCol w:w="9131"/>
      </w:tblGrid>
      <w:tr w:rsidR="00882082" w:rsidRPr="008F4832" w:rsidTr="00672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82082" w:rsidRPr="008F4832" w:rsidRDefault="00097BDE" w:rsidP="008F4832">
            <w:pPr>
              <w:spacing w:line="276" w:lineRule="auto"/>
              <w:jc w:val="center"/>
              <w:rPr>
                <w:rFonts w:ascii="Arial" w:eastAsia="Times New Roman" w:hAnsi="Arial" w:cs="Arial"/>
                <w:b w:val="0"/>
                <w:iCs/>
                <w:sz w:val="24"/>
                <w:szCs w:val="24"/>
              </w:rPr>
            </w:pPr>
            <w:r w:rsidRPr="008F4832">
              <w:rPr>
                <w:rFonts w:ascii="Arial" w:eastAsia="Calibri" w:hAnsi="Arial" w:cs="Arial"/>
                <w:b w:val="0"/>
                <w:color w:val="000000"/>
                <w:sz w:val="24"/>
                <w:szCs w:val="24"/>
              </w:rPr>
              <w:t>Inexistencia de información</w:t>
            </w:r>
            <w:r w:rsidR="008E056E" w:rsidRPr="008F4832">
              <w:rPr>
                <w:rFonts w:ascii="Arial" w:eastAsia="Calibri" w:hAnsi="Arial" w:cs="Arial"/>
                <w:color w:val="000000"/>
                <w:sz w:val="24"/>
                <w:szCs w:val="24"/>
              </w:rPr>
              <w:t xml:space="preserve"> </w:t>
            </w:r>
          </w:p>
        </w:tc>
      </w:tr>
      <w:tr w:rsidR="00522F6E" w:rsidRPr="002D63E9" w:rsidTr="00672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522F6E" w:rsidRPr="008F4832" w:rsidRDefault="005E04AA"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 xml:space="preserve">Breve </w:t>
            </w:r>
            <w:r w:rsidR="00882082" w:rsidRPr="008F4832">
              <w:rPr>
                <w:rFonts w:ascii="Arial" w:eastAsia="Calibri" w:hAnsi="Arial" w:cs="Arial"/>
                <w:sz w:val="24"/>
                <w:szCs w:val="24"/>
                <w:lang w:val="es-MX"/>
              </w:rPr>
              <w:t>Descripción</w:t>
            </w:r>
          </w:p>
        </w:tc>
        <w:tc>
          <w:tcPr>
            <w:tcW w:w="3834" w:type="pct"/>
          </w:tcPr>
          <w:p w:rsidR="00AC7955" w:rsidRPr="008F4832" w:rsidRDefault="00AC7955" w:rsidP="008F483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 xml:space="preserve">Se </w:t>
            </w:r>
            <w:r w:rsidR="00097BDE" w:rsidRPr="008F4832">
              <w:rPr>
                <w:rFonts w:ascii="Arial" w:eastAsia="Times New Roman" w:hAnsi="Arial" w:cs="Arial"/>
                <w:sz w:val="24"/>
                <w:szCs w:val="24"/>
                <w:lang w:val="es-MX" w:eastAsia="es-ES"/>
              </w:rPr>
              <w:t>estima</w:t>
            </w:r>
            <w:r w:rsidRPr="008F4832">
              <w:rPr>
                <w:rFonts w:ascii="Arial" w:eastAsia="Times New Roman" w:hAnsi="Arial" w:cs="Arial"/>
                <w:sz w:val="24"/>
                <w:szCs w:val="24"/>
                <w:lang w:val="es-MX" w:eastAsia="es-ES"/>
              </w:rPr>
              <w:t xml:space="preserve"> que, a fin de delimitar </w:t>
            </w:r>
            <w:r w:rsidR="00097BDE" w:rsidRPr="008F4832">
              <w:rPr>
                <w:rFonts w:ascii="Arial" w:eastAsia="Times New Roman" w:hAnsi="Arial" w:cs="Arial"/>
                <w:sz w:val="24"/>
                <w:szCs w:val="24"/>
                <w:lang w:val="es-MX" w:eastAsia="es-ES"/>
              </w:rPr>
              <w:t xml:space="preserve">el </w:t>
            </w:r>
            <w:r w:rsidRPr="008F4832">
              <w:rPr>
                <w:rFonts w:ascii="Arial" w:eastAsia="Times New Roman" w:hAnsi="Arial" w:cs="Arial"/>
                <w:sz w:val="24"/>
                <w:szCs w:val="24"/>
                <w:lang w:val="es-MX" w:eastAsia="es-ES"/>
              </w:rPr>
              <w:t>tema,</w:t>
            </w:r>
            <w:r w:rsidR="00097BDE" w:rsidRPr="008F4832">
              <w:rPr>
                <w:rFonts w:ascii="Arial" w:eastAsia="Times New Roman" w:hAnsi="Arial" w:cs="Arial"/>
                <w:sz w:val="24"/>
                <w:szCs w:val="24"/>
                <w:lang w:val="es-MX" w:eastAsia="es-ES"/>
              </w:rPr>
              <w:t xml:space="preserve"> los miembros del Grupo de Jurisprudencia y Criterios Administrativos puedan desarrollar</w:t>
            </w:r>
            <w:r w:rsidRPr="008F4832">
              <w:rPr>
                <w:rFonts w:ascii="Arial" w:eastAsia="Times New Roman" w:hAnsi="Arial" w:cs="Arial"/>
                <w:sz w:val="24"/>
                <w:szCs w:val="24"/>
                <w:lang w:val="es-MX" w:eastAsia="es-ES"/>
              </w:rPr>
              <w:t xml:space="preserve"> algunas reflexiones que, a manera de pregunta, sirvan como facilitadores del debate, a saber:</w:t>
            </w:r>
          </w:p>
          <w:p w:rsidR="00097BDE" w:rsidRDefault="003A596B"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w:t>
            </w:r>
            <w:r w:rsidR="00097BDE" w:rsidRPr="008F4832">
              <w:rPr>
                <w:rFonts w:ascii="Arial" w:eastAsia="Times New Roman" w:hAnsi="Arial" w:cs="Arial"/>
                <w:sz w:val="24"/>
                <w:szCs w:val="24"/>
                <w:lang w:val="es-MX" w:eastAsia="es-ES"/>
              </w:rPr>
              <w:t>Existe algún concepto sobre la “inexistencia de la informació</w:t>
            </w:r>
            <w:r>
              <w:rPr>
                <w:rFonts w:ascii="Arial" w:eastAsia="Times New Roman" w:hAnsi="Arial" w:cs="Arial"/>
                <w:sz w:val="24"/>
                <w:szCs w:val="24"/>
                <w:lang w:val="es-MX" w:eastAsia="es-ES"/>
              </w:rPr>
              <w:t>n”?</w:t>
            </w:r>
            <w:r w:rsidR="002D63E9">
              <w:rPr>
                <w:rFonts w:ascii="Arial" w:eastAsia="Times New Roman" w:hAnsi="Arial" w:cs="Arial"/>
                <w:sz w:val="24"/>
                <w:szCs w:val="24"/>
                <w:lang w:val="es-MX" w:eastAsia="es-ES"/>
              </w:rPr>
              <w:t xml:space="preserve"> Si, tenemos el Resumen nº 6 de la Comisión Mixta de Revaluación de Informaciones - CMRI.</w:t>
            </w:r>
          </w:p>
          <w:p w:rsidR="003A596B" w:rsidRPr="008F4832" w:rsidRDefault="003A596B" w:rsidP="003A596B">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 xml:space="preserve">¿Cómo se </w:t>
            </w:r>
            <w:r>
              <w:rPr>
                <w:rFonts w:ascii="Arial" w:eastAsia="Times New Roman" w:hAnsi="Arial" w:cs="Arial"/>
                <w:sz w:val="24"/>
                <w:szCs w:val="24"/>
                <w:lang w:val="es-MX" w:eastAsia="es-ES"/>
              </w:rPr>
              <w:t>considera</w:t>
            </w:r>
            <w:r w:rsidRPr="008F4832">
              <w:rPr>
                <w:rFonts w:ascii="Arial" w:eastAsia="Times New Roman" w:hAnsi="Arial" w:cs="Arial"/>
                <w:sz w:val="24"/>
                <w:szCs w:val="24"/>
                <w:lang w:val="es-MX" w:eastAsia="es-ES"/>
              </w:rPr>
              <w:t xml:space="preserve"> la “inexistencia de la información” e</w:t>
            </w:r>
            <w:r>
              <w:rPr>
                <w:rFonts w:ascii="Arial" w:eastAsia="Times New Roman" w:hAnsi="Arial" w:cs="Arial"/>
                <w:sz w:val="24"/>
                <w:szCs w:val="24"/>
                <w:lang w:val="es-MX" w:eastAsia="es-ES"/>
              </w:rPr>
              <w:t xml:space="preserve">n las regulaciones nacionales? </w:t>
            </w:r>
            <w:r w:rsidR="002D63E9">
              <w:rPr>
                <w:rFonts w:ascii="Arial" w:eastAsia="Times New Roman" w:hAnsi="Arial" w:cs="Arial"/>
                <w:sz w:val="24"/>
                <w:szCs w:val="24"/>
                <w:lang w:val="es-MX" w:eastAsia="es-ES"/>
              </w:rPr>
              <w:t>Véase el Resumen nº 6 de la CMRI.</w:t>
            </w:r>
          </w:p>
          <w:p w:rsidR="00097BDE" w:rsidRPr="008F4832" w:rsidRDefault="00097BDE"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 xml:space="preserve">¿Qué otros </w:t>
            </w:r>
            <w:r w:rsidR="00AC7955" w:rsidRPr="008F4832">
              <w:rPr>
                <w:rFonts w:ascii="Arial" w:eastAsia="Times New Roman" w:hAnsi="Arial" w:cs="Arial"/>
                <w:sz w:val="24"/>
                <w:szCs w:val="24"/>
                <w:lang w:val="es-MX" w:eastAsia="es-ES"/>
              </w:rPr>
              <w:t>conceptos</w:t>
            </w:r>
            <w:r w:rsidRPr="008F4832">
              <w:rPr>
                <w:rFonts w:ascii="Arial" w:eastAsia="Times New Roman" w:hAnsi="Arial" w:cs="Arial"/>
                <w:sz w:val="24"/>
                <w:szCs w:val="24"/>
                <w:lang w:val="es-MX" w:eastAsia="es-ES"/>
              </w:rPr>
              <w:t xml:space="preserve"> se encuentran relacionados con la </w:t>
            </w:r>
            <w:r w:rsidR="00A27E14">
              <w:rPr>
                <w:rFonts w:ascii="Arial" w:eastAsia="Times New Roman" w:hAnsi="Arial" w:cs="Arial"/>
                <w:sz w:val="24"/>
                <w:szCs w:val="24"/>
                <w:lang w:val="es-MX" w:eastAsia="es-ES"/>
              </w:rPr>
              <w:t>“</w:t>
            </w:r>
            <w:r w:rsidRPr="008F4832">
              <w:rPr>
                <w:rFonts w:ascii="Arial" w:eastAsia="Times New Roman" w:hAnsi="Arial" w:cs="Arial"/>
                <w:sz w:val="24"/>
                <w:szCs w:val="24"/>
                <w:lang w:val="es-MX" w:eastAsia="es-ES"/>
              </w:rPr>
              <w:t>inexistencia de la información</w:t>
            </w:r>
            <w:r w:rsidR="00A27E14">
              <w:rPr>
                <w:rFonts w:ascii="Arial" w:eastAsia="Times New Roman" w:hAnsi="Arial" w:cs="Arial"/>
                <w:sz w:val="24"/>
                <w:szCs w:val="24"/>
                <w:lang w:val="es-MX" w:eastAsia="es-ES"/>
              </w:rPr>
              <w:t>”</w:t>
            </w:r>
            <w:r w:rsidRPr="008F4832">
              <w:rPr>
                <w:rFonts w:ascii="Arial" w:eastAsia="Times New Roman" w:hAnsi="Arial" w:cs="Arial"/>
                <w:sz w:val="24"/>
                <w:szCs w:val="24"/>
                <w:lang w:val="es-MX" w:eastAsia="es-ES"/>
              </w:rPr>
              <w:t>?</w:t>
            </w:r>
            <w:r w:rsidR="002D63E9">
              <w:rPr>
                <w:rFonts w:ascii="Arial" w:eastAsia="Times New Roman" w:hAnsi="Arial" w:cs="Arial"/>
                <w:sz w:val="24"/>
                <w:szCs w:val="24"/>
                <w:lang w:val="es-MX" w:eastAsia="es-ES"/>
              </w:rPr>
              <w:t xml:space="preserve"> Véase el Resumen nº 6 de la CMRI.</w:t>
            </w:r>
          </w:p>
          <w:p w:rsidR="00AC7955" w:rsidRPr="008F4832" w:rsidRDefault="003A596B"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¿Quiénes</w:t>
            </w:r>
            <w:r w:rsidR="00097BDE" w:rsidRPr="008F4832">
              <w:rPr>
                <w:rFonts w:ascii="Arial" w:eastAsia="Times New Roman" w:hAnsi="Arial" w:cs="Arial"/>
                <w:sz w:val="24"/>
                <w:szCs w:val="24"/>
                <w:lang w:val="es-MX" w:eastAsia="es-ES"/>
              </w:rPr>
              <w:t xml:space="preserve"> son los distintos actores involucrados en la declaratoria de </w:t>
            </w:r>
            <w:r>
              <w:rPr>
                <w:rFonts w:ascii="Arial" w:eastAsia="Times New Roman" w:hAnsi="Arial" w:cs="Arial"/>
                <w:sz w:val="24"/>
                <w:szCs w:val="24"/>
                <w:lang w:val="es-MX" w:eastAsia="es-ES"/>
              </w:rPr>
              <w:t>“</w:t>
            </w:r>
            <w:r w:rsidR="00097BDE" w:rsidRPr="008F4832">
              <w:rPr>
                <w:rFonts w:ascii="Arial" w:eastAsia="Times New Roman" w:hAnsi="Arial" w:cs="Arial"/>
                <w:sz w:val="24"/>
                <w:szCs w:val="24"/>
                <w:lang w:val="es-MX" w:eastAsia="es-ES"/>
              </w:rPr>
              <w:t>inexistencia de información</w:t>
            </w:r>
            <w:r>
              <w:rPr>
                <w:rFonts w:ascii="Arial" w:eastAsia="Times New Roman" w:hAnsi="Arial" w:cs="Arial"/>
                <w:sz w:val="24"/>
                <w:szCs w:val="24"/>
                <w:lang w:val="es-MX" w:eastAsia="es-ES"/>
              </w:rPr>
              <w:t>”</w:t>
            </w:r>
            <w:r w:rsidR="00097BDE" w:rsidRPr="008F4832">
              <w:rPr>
                <w:rFonts w:ascii="Arial" w:eastAsia="Times New Roman" w:hAnsi="Arial" w:cs="Arial"/>
                <w:sz w:val="24"/>
                <w:szCs w:val="24"/>
                <w:lang w:val="es-MX" w:eastAsia="es-ES"/>
              </w:rPr>
              <w:t xml:space="preserve">? </w:t>
            </w:r>
            <w:r w:rsidR="002D63E9">
              <w:rPr>
                <w:rFonts w:ascii="Arial" w:eastAsia="Times New Roman" w:hAnsi="Arial" w:cs="Arial"/>
                <w:sz w:val="24"/>
                <w:szCs w:val="24"/>
                <w:lang w:val="es-MX" w:eastAsia="es-ES"/>
              </w:rPr>
              <w:t>Las instituciones demandadas y los organismos garantes de acceso a la información.</w:t>
            </w:r>
          </w:p>
          <w:p w:rsidR="00097BDE" w:rsidRPr="008F4832" w:rsidRDefault="00097BDE"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 xml:space="preserve">Identifique el proceso por el cual se resuelve un tema vinculado a la “inexistencia de la información”. </w:t>
            </w:r>
          </w:p>
          <w:p w:rsidR="00AC7955" w:rsidRDefault="00AC7955"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 xml:space="preserve">¿Qué requisitos son necesarios acreditar </w:t>
            </w:r>
            <w:r w:rsidR="003A596B">
              <w:rPr>
                <w:rFonts w:ascii="Arial" w:eastAsia="Times New Roman" w:hAnsi="Arial" w:cs="Arial"/>
                <w:sz w:val="24"/>
                <w:szCs w:val="24"/>
                <w:lang w:val="es-MX" w:eastAsia="es-ES"/>
              </w:rPr>
              <w:t>para “</w:t>
            </w:r>
            <w:r w:rsidR="00097BDE" w:rsidRPr="008F4832">
              <w:rPr>
                <w:rFonts w:ascii="Arial" w:eastAsia="Times New Roman" w:hAnsi="Arial" w:cs="Arial"/>
                <w:sz w:val="24"/>
                <w:szCs w:val="24"/>
                <w:lang w:val="es-MX" w:eastAsia="es-ES"/>
              </w:rPr>
              <w:t>la inexistencia de información</w:t>
            </w:r>
            <w:r w:rsidR="003A596B">
              <w:rPr>
                <w:rFonts w:ascii="Arial" w:eastAsia="Times New Roman" w:hAnsi="Arial" w:cs="Arial"/>
                <w:sz w:val="24"/>
                <w:szCs w:val="24"/>
                <w:lang w:val="es-MX" w:eastAsia="es-ES"/>
              </w:rPr>
              <w:t>”</w:t>
            </w:r>
            <w:r w:rsidRPr="008F4832">
              <w:rPr>
                <w:rFonts w:ascii="Arial" w:eastAsia="Times New Roman" w:hAnsi="Arial" w:cs="Arial"/>
                <w:sz w:val="24"/>
                <w:szCs w:val="24"/>
                <w:lang w:val="es-MX" w:eastAsia="es-ES"/>
              </w:rPr>
              <w:t>?</w:t>
            </w:r>
            <w:r w:rsidR="002D63E9">
              <w:rPr>
                <w:rFonts w:ascii="Arial" w:eastAsia="Times New Roman" w:hAnsi="Arial" w:cs="Arial"/>
                <w:sz w:val="24"/>
                <w:szCs w:val="24"/>
                <w:lang w:val="es-MX" w:eastAsia="es-ES"/>
              </w:rPr>
              <w:t xml:space="preserve"> Véase el Resumen nº 6 de la CMRI.</w:t>
            </w:r>
          </w:p>
          <w:p w:rsidR="00486A8A" w:rsidRDefault="00486A8A" w:rsidP="008F4832">
            <w:pPr>
              <w:pStyle w:val="Prrafodelista"/>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MX" w:eastAsia="es-ES"/>
              </w:rPr>
              <w:t>¿Qué provee la normativa cuando se argumenta la inexistencia de información?</w:t>
            </w:r>
            <w:r w:rsidR="002D63E9">
              <w:rPr>
                <w:rFonts w:ascii="Arial" w:eastAsia="Times New Roman" w:hAnsi="Arial" w:cs="Arial"/>
                <w:sz w:val="24"/>
                <w:szCs w:val="24"/>
                <w:lang w:val="es-MX" w:eastAsia="es-ES"/>
              </w:rPr>
              <w:t xml:space="preserve"> </w:t>
            </w:r>
            <w:r w:rsidR="0050224E" w:rsidRPr="0050224E">
              <w:rPr>
                <w:rFonts w:ascii="Arial" w:eastAsia="Times New Roman" w:hAnsi="Arial" w:cs="Arial"/>
                <w:sz w:val="24"/>
                <w:szCs w:val="24"/>
                <w:lang w:eastAsia="es-ES"/>
              </w:rPr>
              <w:t xml:space="preserve">Art. 11 de la ley nº 12.527/11 y </w:t>
            </w:r>
            <w:r w:rsidR="002D63E9" w:rsidRPr="0050224E">
              <w:rPr>
                <w:rFonts w:ascii="Arial" w:eastAsia="Times New Roman" w:hAnsi="Arial" w:cs="Arial"/>
                <w:sz w:val="24"/>
                <w:szCs w:val="24"/>
                <w:lang w:eastAsia="es-ES"/>
              </w:rPr>
              <w:t>Art. 15 del Decreto nº 7.724/12:</w:t>
            </w:r>
          </w:p>
          <w:p w:rsidR="0050224E" w:rsidRDefault="0050224E" w:rsidP="0050224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p>
          <w:p w:rsidR="0050224E" w:rsidRPr="0050224E" w:rsidRDefault="0050224E" w:rsidP="0050224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r w:rsidRPr="0050224E">
              <w:rPr>
                <w:rFonts w:ascii="Arial" w:eastAsia="Times New Roman" w:hAnsi="Arial" w:cs="Arial"/>
                <w:sz w:val="24"/>
                <w:szCs w:val="24"/>
                <w:lang w:val="pt-BR" w:eastAsia="es-ES"/>
              </w:rPr>
              <w:t xml:space="preserve">Art. 11.  O órgão ou entidade pública deverá autorizar ou conceder o acesso imediato à informação disponível. </w:t>
            </w:r>
          </w:p>
          <w:p w:rsidR="0050224E" w:rsidRPr="0050224E" w:rsidRDefault="0050224E" w:rsidP="0050224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p>
          <w:p w:rsidR="0050224E" w:rsidRPr="0050224E" w:rsidRDefault="0050224E" w:rsidP="0050224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r w:rsidRPr="0050224E">
              <w:rPr>
                <w:rFonts w:ascii="Arial" w:eastAsia="Times New Roman" w:hAnsi="Arial" w:cs="Arial"/>
                <w:sz w:val="24"/>
                <w:szCs w:val="24"/>
                <w:lang w:val="pt-BR" w:eastAsia="es-ES"/>
              </w:rPr>
              <w:t xml:space="preserve">§ 1o  Não sendo possível conceder o acesso imediato, na forma disposta no caput, o órgão ou entidade que receber o pedido deverá, em prazo não superior a 20 (vinte) dias: </w:t>
            </w:r>
          </w:p>
          <w:p w:rsidR="0050224E" w:rsidRPr="0050224E" w:rsidRDefault="0050224E" w:rsidP="0050224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p>
          <w:p w:rsidR="0050224E" w:rsidRPr="0050224E" w:rsidRDefault="0050224E" w:rsidP="0050224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r>
              <w:rPr>
                <w:rFonts w:ascii="Arial" w:eastAsia="Times New Roman" w:hAnsi="Arial" w:cs="Arial"/>
                <w:sz w:val="24"/>
                <w:szCs w:val="24"/>
                <w:lang w:val="pt-BR" w:eastAsia="es-ES"/>
              </w:rPr>
              <w:t>[...]</w:t>
            </w:r>
          </w:p>
          <w:p w:rsidR="0050224E" w:rsidRPr="0050224E" w:rsidRDefault="0050224E" w:rsidP="0050224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p>
          <w:p w:rsidR="0050224E" w:rsidRPr="0050224E" w:rsidRDefault="0050224E" w:rsidP="0050224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r w:rsidRPr="0050224E">
              <w:rPr>
                <w:rFonts w:ascii="Arial" w:eastAsia="Times New Roman" w:hAnsi="Arial" w:cs="Arial"/>
                <w:sz w:val="24"/>
                <w:szCs w:val="24"/>
                <w:lang w:val="pt-BR" w:eastAsia="es-ES"/>
              </w:rPr>
              <w:t xml:space="preserve">III - </w:t>
            </w:r>
            <w:r w:rsidRPr="00850DE6">
              <w:rPr>
                <w:rFonts w:ascii="Arial" w:eastAsia="Times New Roman" w:hAnsi="Arial" w:cs="Arial"/>
                <w:b/>
                <w:sz w:val="24"/>
                <w:szCs w:val="24"/>
                <w:lang w:val="pt-BR" w:eastAsia="es-ES"/>
              </w:rPr>
              <w:t>comunicar que não possui a informação</w:t>
            </w:r>
            <w:r w:rsidRPr="0050224E">
              <w:rPr>
                <w:rFonts w:ascii="Arial" w:eastAsia="Times New Roman" w:hAnsi="Arial" w:cs="Arial"/>
                <w:sz w:val="24"/>
                <w:szCs w:val="24"/>
                <w:lang w:val="pt-BR" w:eastAsia="es-ES"/>
              </w:rPr>
              <w:t>, indicar, se for do seu conhecimento, o órgão ou a entidade que a detém, ou, ainda, remeter o requerimento a esse órgão ou entidade, cientificando o interessado da remessa de seu pedido de informação.</w:t>
            </w:r>
          </w:p>
          <w:p w:rsidR="0050224E" w:rsidRPr="0050224E" w:rsidRDefault="0050224E" w:rsidP="0050224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p>
          <w:p w:rsidR="0050224E" w:rsidRPr="0050224E" w:rsidRDefault="0050224E" w:rsidP="0050224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r w:rsidRPr="002D63E9">
              <w:rPr>
                <w:rFonts w:ascii="Arial" w:eastAsia="Times New Roman" w:hAnsi="Arial" w:cs="Arial"/>
                <w:sz w:val="24"/>
                <w:szCs w:val="24"/>
                <w:lang w:val="pt-BR" w:eastAsia="es-ES"/>
              </w:rPr>
              <w:t>Art. 15.  Recebido o pedido e estando a informação disponível, o acesso será imediato.</w:t>
            </w: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r w:rsidRPr="002D63E9">
              <w:rPr>
                <w:rFonts w:ascii="Arial" w:eastAsia="Times New Roman" w:hAnsi="Arial" w:cs="Arial"/>
                <w:sz w:val="24"/>
                <w:szCs w:val="24"/>
                <w:lang w:val="pt-BR" w:eastAsia="es-ES"/>
              </w:rPr>
              <w:t>§ 1o  Caso não seja possível o acesso imediato, o órgão ou entidade deverá, no prazo de até vinte dias:</w:t>
            </w: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r>
              <w:rPr>
                <w:rFonts w:ascii="Arial" w:eastAsia="Times New Roman" w:hAnsi="Arial" w:cs="Arial"/>
                <w:sz w:val="24"/>
                <w:szCs w:val="24"/>
                <w:lang w:val="pt-BR" w:eastAsia="es-ES"/>
              </w:rPr>
              <w:t>[...]</w:t>
            </w: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r w:rsidRPr="002D63E9">
              <w:rPr>
                <w:rFonts w:ascii="Arial" w:eastAsia="Times New Roman" w:hAnsi="Arial" w:cs="Arial"/>
                <w:sz w:val="24"/>
                <w:szCs w:val="24"/>
                <w:lang w:val="pt-BR" w:eastAsia="es-ES"/>
              </w:rPr>
              <w:t xml:space="preserve">III - </w:t>
            </w:r>
            <w:r w:rsidRPr="002D63E9">
              <w:rPr>
                <w:rFonts w:ascii="Arial" w:eastAsia="Times New Roman" w:hAnsi="Arial" w:cs="Arial"/>
                <w:b/>
                <w:sz w:val="24"/>
                <w:szCs w:val="24"/>
                <w:lang w:val="pt-BR" w:eastAsia="es-ES"/>
              </w:rPr>
              <w:t>comunicar que não possui a informação</w:t>
            </w:r>
            <w:r w:rsidRPr="002D63E9">
              <w:rPr>
                <w:rFonts w:ascii="Arial" w:eastAsia="Times New Roman" w:hAnsi="Arial" w:cs="Arial"/>
                <w:sz w:val="24"/>
                <w:szCs w:val="24"/>
                <w:lang w:val="pt-BR" w:eastAsia="es-ES"/>
              </w:rPr>
              <w:t xml:space="preserve"> </w:t>
            </w:r>
            <w:r w:rsidRPr="002D63E9">
              <w:rPr>
                <w:rFonts w:ascii="Arial" w:eastAsia="Times New Roman" w:hAnsi="Arial" w:cs="Arial"/>
                <w:b/>
                <w:sz w:val="24"/>
                <w:szCs w:val="24"/>
                <w:lang w:val="pt-BR" w:eastAsia="es-ES"/>
              </w:rPr>
              <w:t>ou que não tem conhecimento de sua existência</w:t>
            </w:r>
            <w:r w:rsidRPr="002D63E9">
              <w:rPr>
                <w:rFonts w:ascii="Arial" w:eastAsia="Times New Roman" w:hAnsi="Arial" w:cs="Arial"/>
                <w:sz w:val="24"/>
                <w:szCs w:val="24"/>
                <w:lang w:val="pt-BR" w:eastAsia="es-ES"/>
              </w:rPr>
              <w:t>;</w:t>
            </w: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r w:rsidRPr="002D63E9">
              <w:rPr>
                <w:rFonts w:ascii="Arial" w:eastAsia="Times New Roman" w:hAnsi="Arial" w:cs="Arial"/>
                <w:sz w:val="24"/>
                <w:szCs w:val="24"/>
                <w:lang w:val="pt-BR" w:eastAsia="es-ES"/>
              </w:rPr>
              <w:t>IV - indicar, caso tenha conhecimento, o órgão ou entidade responsável pela informação ou que a detenha; ou</w:t>
            </w: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p>
          <w:p w:rsidR="002D63E9" w:rsidRPr="002D63E9" w:rsidRDefault="002D63E9" w:rsidP="002D63E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t-BR" w:eastAsia="es-ES"/>
              </w:rPr>
            </w:pPr>
            <w:r>
              <w:rPr>
                <w:rFonts w:ascii="Arial" w:eastAsia="Times New Roman" w:hAnsi="Arial" w:cs="Arial"/>
                <w:sz w:val="24"/>
                <w:szCs w:val="24"/>
                <w:lang w:val="pt-BR" w:eastAsia="es-ES"/>
              </w:rPr>
              <w:t>[...]</w:t>
            </w:r>
          </w:p>
        </w:tc>
      </w:tr>
      <w:tr w:rsidR="00522F6E" w:rsidRPr="008F4832" w:rsidTr="006720BA">
        <w:tc>
          <w:tcPr>
            <w:cnfStyle w:val="001000000000" w:firstRow="0" w:lastRow="0" w:firstColumn="1" w:lastColumn="0" w:oddVBand="0" w:evenVBand="0" w:oddHBand="0" w:evenHBand="0" w:firstRowFirstColumn="0" w:firstRowLastColumn="0" w:lastRowFirstColumn="0" w:lastRowLastColumn="0"/>
            <w:tcW w:w="1166" w:type="pct"/>
          </w:tcPr>
          <w:p w:rsidR="00522F6E"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lastRenderedPageBreak/>
              <w:t>País</w:t>
            </w:r>
          </w:p>
        </w:tc>
        <w:tc>
          <w:tcPr>
            <w:tcW w:w="3834" w:type="pct"/>
          </w:tcPr>
          <w:p w:rsidR="00522F6E" w:rsidRPr="008F4832" w:rsidRDefault="002D63E9" w:rsidP="008F483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BRASIL</w:t>
            </w:r>
          </w:p>
        </w:tc>
      </w:tr>
      <w:tr w:rsidR="00522F6E" w:rsidRPr="008F4832" w:rsidTr="00672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522F6E"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Consideraciones Generales (Relevancia del tema)</w:t>
            </w:r>
          </w:p>
        </w:tc>
        <w:tc>
          <w:tcPr>
            <w:tcW w:w="3834" w:type="pct"/>
          </w:tcPr>
          <w:p w:rsidR="00522F6E" w:rsidRDefault="0050224E" w:rsidP="0050224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La justificativa de inexistencia de información es utilizada por las instituciones demandadas por la Ley de Acceso a la Información.</w:t>
            </w:r>
          </w:p>
          <w:p w:rsidR="0050224E" w:rsidRPr="008F4832" w:rsidRDefault="0050224E" w:rsidP="00AA5ED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La interpretación de la CMRI </w:t>
            </w:r>
            <w:r w:rsidR="00AA5EDB">
              <w:rPr>
                <w:rFonts w:ascii="Arial" w:eastAsia="Times New Roman" w:hAnsi="Arial" w:cs="Arial"/>
                <w:iCs/>
                <w:sz w:val="24"/>
                <w:szCs w:val="24"/>
              </w:rPr>
              <w:t>dice que la declaración de inexistencia de información constituye respuesta de naturaleza satisfactoria. No obstante, na CGU tiene el cuidado de solicitar</w:t>
            </w:r>
            <w:r w:rsidR="00A71AF7">
              <w:rPr>
                <w:rFonts w:ascii="Arial" w:eastAsia="Times New Roman" w:hAnsi="Arial" w:cs="Arial"/>
                <w:iCs/>
                <w:sz w:val="24"/>
                <w:szCs w:val="24"/>
              </w:rPr>
              <w:t>, cuando necesario,</w:t>
            </w:r>
            <w:r w:rsidR="00AA5EDB">
              <w:rPr>
                <w:rFonts w:ascii="Arial" w:eastAsia="Times New Roman" w:hAnsi="Arial" w:cs="Arial"/>
                <w:iCs/>
                <w:sz w:val="24"/>
                <w:szCs w:val="24"/>
              </w:rPr>
              <w:t xml:space="preserve"> que las instituciones </w:t>
            </w:r>
            <w:r w:rsidR="00A71AF7">
              <w:rPr>
                <w:rFonts w:ascii="Arial" w:eastAsia="Times New Roman" w:hAnsi="Arial" w:cs="Arial"/>
                <w:iCs/>
                <w:sz w:val="24"/>
                <w:szCs w:val="24"/>
              </w:rPr>
              <w:t>comprueben que hicieron esfuerzos para localizar dicha información.</w:t>
            </w:r>
          </w:p>
        </w:tc>
      </w:tr>
      <w:tr w:rsidR="00522F6E" w:rsidRPr="008F4832" w:rsidTr="006720BA">
        <w:tc>
          <w:tcPr>
            <w:cnfStyle w:val="001000000000" w:firstRow="0" w:lastRow="0" w:firstColumn="1" w:lastColumn="0" w:oddVBand="0" w:evenVBand="0" w:oddHBand="0" w:evenHBand="0" w:firstRowFirstColumn="0" w:firstRowLastColumn="0" w:lastRowFirstColumn="0" w:lastRowLastColumn="0"/>
            <w:tcW w:w="1166" w:type="pct"/>
          </w:tcPr>
          <w:p w:rsidR="00882082"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 xml:space="preserve">Consideraciones </w:t>
            </w:r>
          </w:p>
          <w:p w:rsidR="00522F6E"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(Posición sobre el tema)</w:t>
            </w:r>
          </w:p>
        </w:tc>
        <w:tc>
          <w:tcPr>
            <w:tcW w:w="3834" w:type="pct"/>
          </w:tcPr>
          <w:p w:rsid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Resumen CMRI nº 6/2015</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 xml:space="preserve">La declaración de inexistencia de información de objeto de solicitud constituye una respuesta de naturaliza satisfactoria. </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La COMISIÓN MIXTA DE REVALUACIÓN DE INFORMACIONES, teniendo en cuenta el dispuesto en los ítems III del artículo 10 de su Regimiento Interno, aprobado por medio de la Resolución nº 1, de 21  de diciembre de 2012,</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RESUELVE:</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Art. 1º Se queda aprobada el siguiente Resumen:</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Resumen CMRI nº 6/2015</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“INEXISTENCIA DE INFORMACIÓN – La declaración de inexistencia de información objeto de solicitud constituye respuesta de naturaleza satisfactoria; caso la instancia de apelación verifique la existencia de la información o la posibilidad de su recuperación o reconstitución, deberá solicitar la recuperación y la consolidación de la información o reconstitución de los autos de objeto de solicitud, sin perjuicio de eventuales medidas de apuración de responsabilidad bajo el órgano o entidad en que se haya verificado su eliminación irregular o su descamino.</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Justificativa</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Ese resumen consolida entendimiento segundo el cual las respuestas que certifiquen al inexistencia de información objeto de solicitud de acceso.</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De manera diversa, caso la instancia de apelación verifique que la información está disponible o podría ser recuperada, esa deberá manifestarse sobre el mérito del  recurso interpuesto ante la declaración de inexistencia para, cuando posible, opinar por su provisión y determinar a la producción de la información o la reconstitución  de procesos y document</w:t>
            </w:r>
            <w:r>
              <w:rPr>
                <w:rFonts w:ascii="Arial" w:eastAsia="Times New Roman" w:hAnsi="Arial" w:cs="Arial"/>
                <w:iCs/>
                <w:sz w:val="24"/>
                <w:szCs w:val="24"/>
                <w:lang w:val="es-ES_tradnl"/>
              </w:rPr>
              <w:t xml:space="preserve">os perdidos </w:t>
            </w:r>
            <w:r w:rsidRPr="00AA5EDB">
              <w:rPr>
                <w:rFonts w:ascii="Arial" w:eastAsia="Times New Roman" w:hAnsi="Arial" w:cs="Arial"/>
                <w:iCs/>
                <w:sz w:val="24"/>
                <w:szCs w:val="24"/>
                <w:lang w:val="es-ES_tradnl"/>
              </w:rPr>
              <w:t xml:space="preserve">o irregularmente eliminados. Caso la producción  de la información o la reconstitución  de su soporte suceda en curso de la instrucción, considerarse satisfecho la súplica del interesado, favoreciendo la </w:t>
            </w:r>
            <w:r w:rsidRPr="00AA5EDB">
              <w:rPr>
                <w:rFonts w:ascii="Arial" w:eastAsia="Times New Roman" w:hAnsi="Arial" w:cs="Arial"/>
                <w:iCs/>
                <w:sz w:val="24"/>
                <w:szCs w:val="24"/>
                <w:lang w:val="es-ES_tradnl"/>
              </w:rPr>
              <w:lastRenderedPageBreak/>
              <w:t xml:space="preserve">pérdida de objeto del  recurso. </w:t>
            </w:r>
          </w:p>
          <w:p w:rsid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Sin embargo, cuando no se muestra posible la recuperación o consolidación de la información y la reconstitución de su soporte, la instancia de revisión informará al interesado.</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Habiendo indicios de la ocurrencia de destruición irregular o en el descamino del documento o información, la instancia de revisión deberá encaminar los autos del proceso para el área o a las órganos responsables por la apuración de eventuales responsabilidades para fines de apuración disciplinar.</w:t>
            </w:r>
          </w:p>
          <w:p w:rsidR="00AA5EDB" w:rsidRPr="00AA5EDB" w:rsidRDefault="00AA5EDB" w:rsidP="00AA5ED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p>
          <w:p w:rsidR="00522F6E" w:rsidRPr="00AA5EDB" w:rsidRDefault="00AA5EDB" w:rsidP="00AA5ED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ES_tradnl"/>
              </w:rPr>
            </w:pPr>
            <w:r w:rsidRPr="00AA5EDB">
              <w:rPr>
                <w:rFonts w:ascii="Arial" w:eastAsia="Times New Roman" w:hAnsi="Arial" w:cs="Arial"/>
                <w:iCs/>
                <w:sz w:val="24"/>
                <w:szCs w:val="24"/>
                <w:lang w:val="es-ES_tradnl"/>
              </w:rPr>
              <w:t>Tal entendimiento fue expreso en el Decreto nº 238/2014 (ref. Proc. nº 60502.002541/2014-57), la CMRI ha declarado pérdida de objeto del recurso cuando después de solicitar que el órgano demandado produjera la información considerada necesaria al ejercicio de sus competencias legales.</w:t>
            </w:r>
          </w:p>
        </w:tc>
      </w:tr>
      <w:tr w:rsidR="00522F6E" w:rsidRPr="008F4832" w:rsidTr="00672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33112F" w:rsidRPr="008F4832" w:rsidRDefault="0033112F"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lastRenderedPageBreak/>
              <w:t xml:space="preserve">Áreas de oportunidad </w:t>
            </w:r>
          </w:p>
          <w:p w:rsidR="00522F6E"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w:t>
            </w:r>
            <w:r w:rsidR="0033112F" w:rsidRPr="008F4832">
              <w:rPr>
                <w:rFonts w:ascii="Arial" w:eastAsia="Calibri" w:hAnsi="Arial" w:cs="Arial"/>
                <w:sz w:val="24"/>
                <w:szCs w:val="24"/>
                <w:lang w:val="es-MX"/>
              </w:rPr>
              <w:t>¿Qué</w:t>
            </w:r>
            <w:r w:rsidRPr="008F4832">
              <w:rPr>
                <w:rFonts w:ascii="Arial" w:eastAsia="Calibri" w:hAnsi="Arial" w:cs="Arial"/>
                <w:sz w:val="24"/>
                <w:szCs w:val="24"/>
                <w:lang w:val="es-MX"/>
              </w:rPr>
              <w:t xml:space="preserve"> hace falta para mejorar el derecho de acceso en el tema a discusión</w:t>
            </w:r>
            <w:r w:rsidR="0033112F" w:rsidRPr="008F4832">
              <w:rPr>
                <w:rFonts w:ascii="Arial" w:eastAsia="Calibri" w:hAnsi="Arial" w:cs="Arial"/>
                <w:sz w:val="24"/>
                <w:szCs w:val="24"/>
                <w:lang w:val="es-MX"/>
              </w:rPr>
              <w:t>? – Nuevos Retos)</w:t>
            </w:r>
          </w:p>
        </w:tc>
        <w:tc>
          <w:tcPr>
            <w:tcW w:w="3834" w:type="pct"/>
          </w:tcPr>
          <w:p w:rsidR="00522F6E" w:rsidRDefault="00561D9C" w:rsidP="00561D9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En muchas situaciones, la declaración de la inexistencia de información </w:t>
            </w:r>
            <w:r w:rsidR="008C3F24">
              <w:rPr>
                <w:rFonts w:ascii="Arial" w:eastAsia="Times New Roman" w:hAnsi="Arial" w:cs="Arial"/>
                <w:iCs/>
                <w:sz w:val="24"/>
                <w:szCs w:val="24"/>
              </w:rPr>
              <w:t>está</w:t>
            </w:r>
            <w:r>
              <w:rPr>
                <w:rFonts w:ascii="Arial" w:eastAsia="Times New Roman" w:hAnsi="Arial" w:cs="Arial"/>
                <w:iCs/>
                <w:sz w:val="24"/>
                <w:szCs w:val="24"/>
              </w:rPr>
              <w:t xml:space="preserve"> asociada a una gestión de información deficiente en la institución demandada. En ese sentido, es probable que a la medida en que se perfeccione la guarda y recuperación de las informaciones producidas en los distintos órganos y entidades del Estado, dichas instituciones tengan más condiciones de recuperar informaciones de interés de los ciudadanos.</w:t>
            </w:r>
          </w:p>
          <w:p w:rsidR="00561D9C" w:rsidRDefault="00561D9C" w:rsidP="00561D9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561D9C" w:rsidRPr="008F4832" w:rsidRDefault="00561D9C" w:rsidP="00561D9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Adicionalmente, esta misma gestión documental deficiente aparenta ser una oportunidad para obstaculizar el acceso a la información. En otras palabras, debe-se tener cuidado para que las instituciones no se utilicen de esta justificativa para negar acceso cuando una información les sea verdaderamente sensible.</w:t>
            </w:r>
          </w:p>
        </w:tc>
      </w:tr>
      <w:tr w:rsidR="00522F6E" w:rsidRPr="008F4832" w:rsidTr="006720BA">
        <w:tc>
          <w:tcPr>
            <w:cnfStyle w:val="001000000000" w:firstRow="0" w:lastRow="0" w:firstColumn="1" w:lastColumn="0" w:oddVBand="0" w:evenVBand="0" w:oddHBand="0" w:evenHBand="0" w:firstRowFirstColumn="0" w:firstRowLastColumn="0" w:lastRowFirstColumn="0" w:lastRowLastColumn="0"/>
            <w:tcW w:w="1166" w:type="pct"/>
          </w:tcPr>
          <w:p w:rsidR="00522F6E" w:rsidRPr="008F4832" w:rsidRDefault="00882082" w:rsidP="008F4832">
            <w:pPr>
              <w:spacing w:line="276" w:lineRule="auto"/>
              <w:jc w:val="center"/>
              <w:rPr>
                <w:rFonts w:ascii="Arial" w:eastAsia="Calibri" w:hAnsi="Arial" w:cs="Arial"/>
                <w:b w:val="0"/>
                <w:sz w:val="24"/>
                <w:szCs w:val="24"/>
                <w:lang w:val="es-MX"/>
              </w:rPr>
            </w:pPr>
            <w:r w:rsidRPr="008F4832">
              <w:rPr>
                <w:rFonts w:ascii="Arial" w:eastAsia="Calibri" w:hAnsi="Arial" w:cs="Arial"/>
                <w:sz w:val="24"/>
                <w:szCs w:val="24"/>
                <w:lang w:val="es-MX"/>
              </w:rPr>
              <w:t>Precedentes o criterios</w:t>
            </w:r>
          </w:p>
          <w:p w:rsidR="00882082" w:rsidRPr="008F4832" w:rsidRDefault="00882082" w:rsidP="008F4832">
            <w:pPr>
              <w:spacing w:line="276" w:lineRule="auto"/>
              <w:jc w:val="center"/>
              <w:rPr>
                <w:rFonts w:ascii="Arial" w:eastAsia="Calibri" w:hAnsi="Arial" w:cs="Arial"/>
                <w:sz w:val="24"/>
                <w:szCs w:val="24"/>
                <w:lang w:val="es-MX"/>
              </w:rPr>
            </w:pPr>
            <w:r w:rsidRPr="008F4832">
              <w:rPr>
                <w:rFonts w:ascii="Arial" w:eastAsia="Calibri" w:hAnsi="Arial" w:cs="Arial"/>
                <w:sz w:val="24"/>
                <w:szCs w:val="24"/>
                <w:lang w:val="es-MX"/>
              </w:rPr>
              <w:t>(Cómo se ha resuelto el tema en su país)</w:t>
            </w:r>
          </w:p>
        </w:tc>
        <w:tc>
          <w:tcPr>
            <w:tcW w:w="3834" w:type="pct"/>
          </w:tcPr>
          <w:p w:rsidR="00522F6E" w:rsidRDefault="00BA1FDB"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hyperlink r:id="rId6" w:history="1">
              <w:r w:rsidR="00A71AF7" w:rsidRPr="00976F1E">
                <w:rPr>
                  <w:rStyle w:val="Hipervnculo"/>
                  <w:rFonts w:ascii="Arial" w:eastAsia="Times New Roman" w:hAnsi="Arial" w:cs="Arial"/>
                  <w:iCs/>
                  <w:sz w:val="24"/>
                  <w:szCs w:val="24"/>
                </w:rPr>
                <w:t>http://www.acessoainformacao.gov.br/precedentes/MJ/DPRF/08850002843201455%282%29.pdf</w:t>
              </w:r>
            </w:hyperlink>
          </w:p>
          <w:p w:rsidR="00A71AF7" w:rsidRDefault="00BA1FDB"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hyperlink r:id="rId7" w:history="1">
              <w:r w:rsidR="00A71AF7" w:rsidRPr="00976F1E">
                <w:rPr>
                  <w:rStyle w:val="Hipervnculo"/>
                  <w:rFonts w:ascii="Arial" w:eastAsia="Times New Roman" w:hAnsi="Arial" w:cs="Arial"/>
                  <w:iCs/>
                  <w:sz w:val="24"/>
                  <w:szCs w:val="24"/>
                </w:rPr>
                <w:t>http://www.acessoainformacao.gov.br/precedentes/SUSEP/12649001607201484.pdf</w:t>
              </w:r>
            </w:hyperlink>
          </w:p>
          <w:p w:rsidR="00A71AF7" w:rsidRDefault="00BA1FDB"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hyperlink r:id="rId8" w:history="1">
              <w:r w:rsidR="00A71AF7" w:rsidRPr="00976F1E">
                <w:rPr>
                  <w:rStyle w:val="Hipervnculo"/>
                  <w:rFonts w:ascii="Arial" w:eastAsia="Times New Roman" w:hAnsi="Arial" w:cs="Arial"/>
                  <w:iCs/>
                  <w:sz w:val="24"/>
                  <w:szCs w:val="24"/>
                </w:rPr>
                <w:t>http://www.acessoainformacao.gov.br/precedentes/MD/CEX/60502001246201564.pdf</w:t>
              </w:r>
            </w:hyperlink>
          </w:p>
          <w:p w:rsidR="00A71AF7" w:rsidRDefault="00BA1FDB"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hyperlink r:id="rId9" w:history="1">
              <w:r w:rsidR="00A71AF7" w:rsidRPr="00976F1E">
                <w:rPr>
                  <w:rStyle w:val="Hipervnculo"/>
                  <w:rFonts w:ascii="Arial" w:eastAsia="Times New Roman" w:hAnsi="Arial" w:cs="Arial"/>
                  <w:iCs/>
                  <w:sz w:val="24"/>
                  <w:szCs w:val="24"/>
                </w:rPr>
                <w:t>http://www.acessoainformacao.gov.br/precedentes/PR/SECOM-PR/00077000754201561%2000077000779201564.pdf</w:t>
              </w:r>
            </w:hyperlink>
          </w:p>
          <w:p w:rsidR="00A71AF7" w:rsidRDefault="00BA1FDB"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hyperlink r:id="rId10" w:history="1">
              <w:r w:rsidR="00A71AF7" w:rsidRPr="00976F1E">
                <w:rPr>
                  <w:rStyle w:val="Hipervnculo"/>
                  <w:rFonts w:ascii="Arial" w:eastAsia="Times New Roman" w:hAnsi="Arial" w:cs="Arial"/>
                  <w:iCs/>
                  <w:sz w:val="24"/>
                  <w:szCs w:val="24"/>
                </w:rPr>
                <w:t>http://www.acessoainformacao.gov.br/precedentes/MEC/CAPES/23480000183201506.pdf</w:t>
              </w:r>
            </w:hyperlink>
          </w:p>
          <w:p w:rsidR="00A71AF7" w:rsidRPr="008F4832" w:rsidRDefault="00A71AF7" w:rsidP="008F483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rsidR="00522F6E" w:rsidRPr="008F4832" w:rsidRDefault="00522F6E" w:rsidP="008F4832">
      <w:pPr>
        <w:pStyle w:val="Prrafodelista"/>
        <w:spacing w:after="0"/>
        <w:jc w:val="both"/>
        <w:rPr>
          <w:rFonts w:ascii="Arial" w:hAnsi="Arial" w:cs="Arial"/>
          <w:b/>
          <w:sz w:val="24"/>
          <w:szCs w:val="24"/>
        </w:rPr>
      </w:pPr>
    </w:p>
    <w:p w:rsidR="004B612B" w:rsidRPr="008F4832" w:rsidRDefault="004B612B" w:rsidP="008F4832">
      <w:pPr>
        <w:spacing w:after="0"/>
        <w:jc w:val="both"/>
        <w:rPr>
          <w:rFonts w:ascii="Arial" w:hAnsi="Arial" w:cs="Arial"/>
          <w:sz w:val="24"/>
          <w:szCs w:val="24"/>
        </w:rPr>
      </w:pPr>
    </w:p>
    <w:p w:rsidR="00E131FB" w:rsidRPr="008F4832" w:rsidRDefault="00E131FB" w:rsidP="008F4832">
      <w:pPr>
        <w:pStyle w:val="Prrafodelista"/>
        <w:numPr>
          <w:ilvl w:val="0"/>
          <w:numId w:val="1"/>
        </w:numPr>
        <w:spacing w:after="0"/>
        <w:jc w:val="both"/>
        <w:rPr>
          <w:rFonts w:ascii="Arial" w:hAnsi="Arial" w:cs="Arial"/>
          <w:b/>
          <w:sz w:val="24"/>
          <w:szCs w:val="24"/>
        </w:rPr>
      </w:pPr>
      <w:r w:rsidRPr="008F4832">
        <w:rPr>
          <w:rFonts w:ascii="Arial" w:hAnsi="Arial" w:cs="Arial"/>
          <w:b/>
          <w:sz w:val="24"/>
          <w:szCs w:val="24"/>
        </w:rPr>
        <w:t>Procedimiento para las conclusiones</w:t>
      </w:r>
      <w:r w:rsidR="0033282F" w:rsidRPr="008F4832">
        <w:rPr>
          <w:rFonts w:ascii="Arial" w:hAnsi="Arial" w:cs="Arial"/>
          <w:b/>
          <w:sz w:val="24"/>
          <w:szCs w:val="24"/>
        </w:rPr>
        <w:t>:</w:t>
      </w:r>
    </w:p>
    <w:p w:rsidR="00882082" w:rsidRPr="008F4832" w:rsidRDefault="00882082" w:rsidP="008F4832">
      <w:pPr>
        <w:spacing w:after="0"/>
        <w:jc w:val="both"/>
        <w:rPr>
          <w:rFonts w:ascii="Arial" w:hAnsi="Arial" w:cs="Arial"/>
          <w:b/>
          <w:sz w:val="24"/>
          <w:szCs w:val="24"/>
        </w:rPr>
      </w:pPr>
    </w:p>
    <w:p w:rsidR="00882082" w:rsidRPr="008F4832" w:rsidRDefault="00882082" w:rsidP="008F4832">
      <w:pPr>
        <w:spacing w:after="0"/>
        <w:jc w:val="both"/>
        <w:rPr>
          <w:rFonts w:ascii="Arial" w:hAnsi="Arial" w:cs="Arial"/>
          <w:sz w:val="24"/>
          <w:szCs w:val="24"/>
        </w:rPr>
      </w:pPr>
      <w:r w:rsidRPr="008F4832">
        <w:rPr>
          <w:rFonts w:ascii="Arial" w:hAnsi="Arial" w:cs="Arial"/>
          <w:sz w:val="24"/>
          <w:szCs w:val="24"/>
        </w:rPr>
        <w:t xml:space="preserve">Una vez que se tenga la información </w:t>
      </w:r>
      <w:r w:rsidR="00F617EE" w:rsidRPr="008F4832">
        <w:rPr>
          <w:rFonts w:ascii="Arial" w:hAnsi="Arial" w:cs="Arial"/>
          <w:sz w:val="24"/>
          <w:szCs w:val="24"/>
        </w:rPr>
        <w:t>de todos los países</w:t>
      </w:r>
      <w:r w:rsidR="00097BDE" w:rsidRPr="008F4832">
        <w:rPr>
          <w:rFonts w:ascii="Arial" w:hAnsi="Arial" w:cs="Arial"/>
          <w:sz w:val="24"/>
          <w:szCs w:val="24"/>
        </w:rPr>
        <w:t xml:space="preserve">, </w:t>
      </w:r>
      <w:r w:rsidRPr="008F4832">
        <w:rPr>
          <w:rFonts w:ascii="Arial" w:hAnsi="Arial" w:cs="Arial"/>
          <w:sz w:val="24"/>
          <w:szCs w:val="24"/>
        </w:rPr>
        <w:t xml:space="preserve">cada </w:t>
      </w:r>
      <w:r w:rsidR="00097BDE" w:rsidRPr="008F4832">
        <w:rPr>
          <w:rFonts w:ascii="Arial" w:hAnsi="Arial" w:cs="Arial"/>
          <w:sz w:val="24"/>
          <w:szCs w:val="24"/>
        </w:rPr>
        <w:t>uno de ellos</w:t>
      </w:r>
      <w:r w:rsidRPr="008F4832">
        <w:rPr>
          <w:rFonts w:ascii="Arial" w:hAnsi="Arial" w:cs="Arial"/>
          <w:sz w:val="24"/>
          <w:szCs w:val="24"/>
        </w:rPr>
        <w:t xml:space="preserve"> deberá emitir sus propias conclusiones y proponer una conclusión general para el Grupo</w:t>
      </w:r>
      <w:r w:rsidR="00F617EE" w:rsidRPr="008F4832">
        <w:rPr>
          <w:rFonts w:ascii="Arial" w:hAnsi="Arial" w:cs="Arial"/>
          <w:sz w:val="24"/>
          <w:szCs w:val="24"/>
        </w:rPr>
        <w:t xml:space="preserve"> de Jurisprudencia RTA</w:t>
      </w:r>
      <w:r w:rsidRPr="008F4832">
        <w:rPr>
          <w:rFonts w:ascii="Arial" w:hAnsi="Arial" w:cs="Arial"/>
          <w:sz w:val="24"/>
          <w:szCs w:val="24"/>
        </w:rPr>
        <w:t>.</w:t>
      </w:r>
    </w:p>
    <w:p w:rsidR="00882082" w:rsidRPr="008F4832" w:rsidRDefault="00882082" w:rsidP="008F4832">
      <w:pPr>
        <w:spacing w:after="0"/>
        <w:jc w:val="both"/>
        <w:rPr>
          <w:rFonts w:ascii="Arial" w:hAnsi="Arial" w:cs="Arial"/>
          <w:sz w:val="24"/>
          <w:szCs w:val="24"/>
        </w:rPr>
      </w:pPr>
    </w:p>
    <w:p w:rsidR="00882082" w:rsidRPr="008F4832" w:rsidRDefault="00097BDE" w:rsidP="008F4832">
      <w:pPr>
        <w:spacing w:after="0"/>
        <w:jc w:val="both"/>
        <w:rPr>
          <w:rFonts w:ascii="Arial" w:hAnsi="Arial" w:cs="Arial"/>
          <w:sz w:val="24"/>
          <w:szCs w:val="24"/>
        </w:rPr>
      </w:pPr>
      <w:r w:rsidRPr="008F4832">
        <w:rPr>
          <w:rFonts w:ascii="Arial" w:hAnsi="Arial" w:cs="Arial"/>
          <w:sz w:val="24"/>
          <w:szCs w:val="24"/>
        </w:rPr>
        <w:t>Desde el INAI</w:t>
      </w:r>
      <w:r w:rsidR="00882082" w:rsidRPr="008F4832">
        <w:rPr>
          <w:rFonts w:ascii="Arial" w:hAnsi="Arial" w:cs="Arial"/>
          <w:sz w:val="24"/>
          <w:szCs w:val="24"/>
        </w:rPr>
        <w:t>, al ser el</w:t>
      </w:r>
      <w:r w:rsidRPr="008F4832">
        <w:rPr>
          <w:rFonts w:ascii="Arial" w:hAnsi="Arial" w:cs="Arial"/>
          <w:sz w:val="24"/>
          <w:szCs w:val="24"/>
        </w:rPr>
        <w:t xml:space="preserve"> moderador del debate</w:t>
      </w:r>
      <w:r w:rsidR="00F617EE" w:rsidRPr="008F4832">
        <w:rPr>
          <w:rFonts w:ascii="Arial" w:hAnsi="Arial" w:cs="Arial"/>
          <w:sz w:val="24"/>
          <w:szCs w:val="24"/>
        </w:rPr>
        <w:t>,</w:t>
      </w:r>
      <w:r w:rsidR="00882082" w:rsidRPr="008F4832">
        <w:rPr>
          <w:rFonts w:ascii="Arial" w:hAnsi="Arial" w:cs="Arial"/>
          <w:sz w:val="24"/>
          <w:szCs w:val="24"/>
        </w:rPr>
        <w:t xml:space="preserve"> elaborará un análisis de todas las propuestas y emitirá un criterio </w:t>
      </w:r>
      <w:r w:rsidR="00F617EE" w:rsidRPr="008F4832">
        <w:rPr>
          <w:rFonts w:ascii="Arial" w:hAnsi="Arial" w:cs="Arial"/>
          <w:sz w:val="24"/>
          <w:szCs w:val="24"/>
        </w:rPr>
        <w:t xml:space="preserve">único </w:t>
      </w:r>
      <w:r w:rsidR="00882082" w:rsidRPr="008F4832">
        <w:rPr>
          <w:rFonts w:ascii="Arial" w:hAnsi="Arial" w:cs="Arial"/>
          <w:sz w:val="24"/>
          <w:szCs w:val="24"/>
        </w:rPr>
        <w:t xml:space="preserve">que previamente enviará a los países miembros para </w:t>
      </w:r>
      <w:r w:rsidR="005E04AA" w:rsidRPr="008F4832">
        <w:rPr>
          <w:rFonts w:ascii="Arial" w:hAnsi="Arial" w:cs="Arial"/>
          <w:sz w:val="24"/>
          <w:szCs w:val="24"/>
        </w:rPr>
        <w:t>reflejar la posición que tiene el grupo en ese tema</w:t>
      </w:r>
      <w:r w:rsidR="00882082" w:rsidRPr="008F4832">
        <w:rPr>
          <w:rFonts w:ascii="Arial" w:hAnsi="Arial" w:cs="Arial"/>
          <w:sz w:val="24"/>
          <w:szCs w:val="24"/>
        </w:rPr>
        <w:t xml:space="preserve">. </w:t>
      </w:r>
    </w:p>
    <w:p w:rsidR="0033282F" w:rsidRPr="008F4832" w:rsidRDefault="0033282F" w:rsidP="008F4832">
      <w:pPr>
        <w:spacing w:after="0"/>
        <w:ind w:left="360"/>
        <w:jc w:val="both"/>
        <w:rPr>
          <w:rFonts w:ascii="Arial" w:hAnsi="Arial" w:cs="Arial"/>
          <w:b/>
          <w:sz w:val="24"/>
          <w:szCs w:val="24"/>
        </w:rPr>
      </w:pPr>
    </w:p>
    <w:p w:rsidR="0033282F" w:rsidRPr="006720BA" w:rsidRDefault="0033282F" w:rsidP="006720BA">
      <w:pPr>
        <w:spacing w:after="0"/>
        <w:jc w:val="center"/>
        <w:rPr>
          <w:rFonts w:ascii="Arial" w:eastAsia="Calibri" w:hAnsi="Arial" w:cs="Arial"/>
          <w:bCs/>
          <w:color w:val="000000"/>
          <w:sz w:val="24"/>
          <w:szCs w:val="24"/>
        </w:rPr>
      </w:pPr>
    </w:p>
    <w:tbl>
      <w:tblPr>
        <w:tblStyle w:val="Listaclara-nfasis2"/>
        <w:tblW w:w="5000" w:type="pct"/>
        <w:tblLook w:val="04A0" w:firstRow="1" w:lastRow="0" w:firstColumn="1" w:lastColumn="0" w:noHBand="0" w:noVBand="1"/>
      </w:tblPr>
      <w:tblGrid>
        <w:gridCol w:w="2569"/>
        <w:gridCol w:w="8447"/>
      </w:tblGrid>
      <w:tr w:rsidR="00882082" w:rsidRPr="008F4832" w:rsidTr="00672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82082" w:rsidRPr="008F4832" w:rsidRDefault="00882082" w:rsidP="008F4832">
            <w:pPr>
              <w:jc w:val="center"/>
              <w:rPr>
                <w:rFonts w:ascii="Arial" w:eastAsia="Times New Roman" w:hAnsi="Arial" w:cs="Arial"/>
                <w:b w:val="0"/>
                <w:iCs/>
                <w:sz w:val="24"/>
                <w:szCs w:val="24"/>
              </w:rPr>
            </w:pPr>
            <w:r w:rsidRPr="008F4832">
              <w:rPr>
                <w:rFonts w:ascii="Arial" w:eastAsia="Calibri" w:hAnsi="Arial" w:cs="Arial"/>
                <w:sz w:val="24"/>
                <w:szCs w:val="24"/>
                <w:lang w:val="es-MX"/>
              </w:rPr>
              <w:t>“…” (Tema</w:t>
            </w:r>
            <w:r w:rsidR="005E04AA" w:rsidRPr="008F4832">
              <w:rPr>
                <w:rFonts w:ascii="Arial" w:eastAsia="Calibri" w:hAnsi="Arial" w:cs="Arial"/>
                <w:sz w:val="24"/>
                <w:szCs w:val="24"/>
                <w:lang w:val="es-MX"/>
              </w:rPr>
              <w:t xml:space="preserve"> y subtema</w:t>
            </w:r>
            <w:r w:rsidRPr="008F4832">
              <w:rPr>
                <w:rFonts w:ascii="Arial" w:eastAsia="Calibri" w:hAnsi="Arial" w:cs="Arial"/>
                <w:sz w:val="24"/>
                <w:szCs w:val="24"/>
                <w:lang w:val="es-MX"/>
              </w:rPr>
              <w:t>)</w:t>
            </w:r>
          </w:p>
        </w:tc>
      </w:tr>
      <w:tr w:rsidR="00882082" w:rsidRPr="008F4832" w:rsidTr="00672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882082" w:rsidRPr="008F4832" w:rsidRDefault="00F617EE" w:rsidP="008F4832">
            <w:pPr>
              <w:jc w:val="center"/>
              <w:rPr>
                <w:rFonts w:ascii="Arial" w:eastAsia="Calibri" w:hAnsi="Arial" w:cs="Arial"/>
                <w:b w:val="0"/>
                <w:sz w:val="24"/>
                <w:szCs w:val="24"/>
                <w:lang w:val="es-MX"/>
              </w:rPr>
            </w:pPr>
            <w:r w:rsidRPr="008F4832">
              <w:rPr>
                <w:rFonts w:ascii="Arial" w:eastAsia="Calibri" w:hAnsi="Arial" w:cs="Arial"/>
                <w:sz w:val="24"/>
                <w:szCs w:val="24"/>
                <w:lang w:val="es-MX"/>
              </w:rPr>
              <w:t>Conclusiones por País</w:t>
            </w:r>
          </w:p>
        </w:tc>
        <w:tc>
          <w:tcPr>
            <w:tcW w:w="3834" w:type="pct"/>
          </w:tcPr>
          <w:p w:rsidR="00882082" w:rsidRPr="008F4832" w:rsidRDefault="00882082"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882082" w:rsidRPr="008F4832" w:rsidTr="006720BA">
        <w:tc>
          <w:tcPr>
            <w:cnfStyle w:val="001000000000" w:firstRow="0" w:lastRow="0" w:firstColumn="1" w:lastColumn="0" w:oddVBand="0" w:evenVBand="0" w:oddHBand="0" w:evenHBand="0" w:firstRowFirstColumn="0" w:firstRowLastColumn="0" w:lastRowFirstColumn="0" w:lastRowLastColumn="0"/>
            <w:tcW w:w="1166" w:type="pct"/>
          </w:tcPr>
          <w:p w:rsidR="00F617EE" w:rsidRPr="008F4832" w:rsidRDefault="00F617EE" w:rsidP="008F4832">
            <w:pPr>
              <w:jc w:val="center"/>
              <w:rPr>
                <w:rFonts w:ascii="Arial" w:eastAsia="Calibri" w:hAnsi="Arial" w:cs="Arial"/>
                <w:b w:val="0"/>
                <w:sz w:val="24"/>
                <w:szCs w:val="24"/>
                <w:lang w:val="es-MX"/>
              </w:rPr>
            </w:pPr>
            <w:r w:rsidRPr="008F4832">
              <w:rPr>
                <w:rFonts w:ascii="Arial" w:eastAsia="Calibri" w:hAnsi="Arial" w:cs="Arial"/>
                <w:sz w:val="24"/>
                <w:szCs w:val="24"/>
                <w:lang w:val="es-MX"/>
              </w:rPr>
              <w:t>Criterio Propuesto</w:t>
            </w:r>
          </w:p>
          <w:p w:rsidR="00882082" w:rsidRPr="008F4832" w:rsidRDefault="00F617EE" w:rsidP="008F4832">
            <w:pPr>
              <w:jc w:val="center"/>
              <w:rPr>
                <w:rFonts w:ascii="Arial" w:eastAsia="Calibri" w:hAnsi="Arial" w:cs="Arial"/>
                <w:sz w:val="24"/>
                <w:szCs w:val="24"/>
                <w:lang w:val="es-MX"/>
              </w:rPr>
            </w:pPr>
            <w:r w:rsidRPr="008F4832">
              <w:rPr>
                <w:rFonts w:ascii="Arial" w:eastAsia="Calibri" w:hAnsi="Arial" w:cs="Arial"/>
                <w:sz w:val="24"/>
                <w:szCs w:val="24"/>
                <w:lang w:val="es-MX"/>
              </w:rPr>
              <w:t>(Conclusión para el Grupo)</w:t>
            </w:r>
          </w:p>
        </w:tc>
        <w:tc>
          <w:tcPr>
            <w:tcW w:w="3834" w:type="pct"/>
          </w:tcPr>
          <w:p w:rsidR="00882082" w:rsidRPr="008F4832" w:rsidRDefault="00882082" w:rsidP="008F48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rsidR="00E131FB" w:rsidRPr="008F4832" w:rsidRDefault="00E131FB" w:rsidP="008F4832">
      <w:pPr>
        <w:spacing w:after="0"/>
        <w:jc w:val="both"/>
        <w:rPr>
          <w:rFonts w:ascii="Arial" w:hAnsi="Arial" w:cs="Arial"/>
          <w:sz w:val="24"/>
          <w:szCs w:val="24"/>
        </w:rPr>
      </w:pPr>
    </w:p>
    <w:sectPr w:rsidR="00E131FB" w:rsidRPr="008F4832" w:rsidSect="006720BA">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FB"/>
    <w:rsid w:val="000478B8"/>
    <w:rsid w:val="00097BDE"/>
    <w:rsid w:val="001F1D8B"/>
    <w:rsid w:val="002D63E9"/>
    <w:rsid w:val="0033112F"/>
    <w:rsid w:val="0033282F"/>
    <w:rsid w:val="0039462F"/>
    <w:rsid w:val="003A596B"/>
    <w:rsid w:val="004633C9"/>
    <w:rsid w:val="00486A8A"/>
    <w:rsid w:val="004B612B"/>
    <w:rsid w:val="0050224E"/>
    <w:rsid w:val="00521672"/>
    <w:rsid w:val="00522F6E"/>
    <w:rsid w:val="00561D9C"/>
    <w:rsid w:val="005941F2"/>
    <w:rsid w:val="005E04AA"/>
    <w:rsid w:val="006720BA"/>
    <w:rsid w:val="00787100"/>
    <w:rsid w:val="00850DE6"/>
    <w:rsid w:val="00882082"/>
    <w:rsid w:val="008C3F24"/>
    <w:rsid w:val="008E056E"/>
    <w:rsid w:val="008F4832"/>
    <w:rsid w:val="00970F79"/>
    <w:rsid w:val="009760E6"/>
    <w:rsid w:val="00A27E14"/>
    <w:rsid w:val="00A71AF7"/>
    <w:rsid w:val="00A801E3"/>
    <w:rsid w:val="00AA5EDB"/>
    <w:rsid w:val="00AC7955"/>
    <w:rsid w:val="00B927E9"/>
    <w:rsid w:val="00BA1FDB"/>
    <w:rsid w:val="00CB058C"/>
    <w:rsid w:val="00CB3B99"/>
    <w:rsid w:val="00D23AE4"/>
    <w:rsid w:val="00E131FB"/>
    <w:rsid w:val="00E23674"/>
    <w:rsid w:val="00F368BA"/>
    <w:rsid w:val="00F617EE"/>
    <w:rsid w:val="00FD1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ipervnculo">
    <w:name w:val="Hyperlink"/>
    <w:basedOn w:val="Fuentedeprrafopredeter"/>
    <w:uiPriority w:val="99"/>
    <w:unhideWhenUsed/>
    <w:rsid w:val="00A71A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ipervnculo">
    <w:name w:val="Hyperlink"/>
    <w:basedOn w:val="Fuentedeprrafopredeter"/>
    <w:uiPriority w:val="99"/>
    <w:unhideWhenUsed/>
    <w:rsid w:val="00A71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66620">
      <w:bodyDiv w:val="1"/>
      <w:marLeft w:val="0"/>
      <w:marRight w:val="0"/>
      <w:marTop w:val="0"/>
      <w:marBottom w:val="0"/>
      <w:divBdr>
        <w:top w:val="none" w:sz="0" w:space="0" w:color="auto"/>
        <w:left w:val="none" w:sz="0" w:space="0" w:color="auto"/>
        <w:bottom w:val="none" w:sz="0" w:space="0" w:color="auto"/>
        <w:right w:val="none" w:sz="0" w:space="0" w:color="auto"/>
      </w:divBdr>
    </w:div>
    <w:div w:id="1110130116">
      <w:bodyDiv w:val="1"/>
      <w:marLeft w:val="0"/>
      <w:marRight w:val="0"/>
      <w:marTop w:val="0"/>
      <w:marBottom w:val="0"/>
      <w:divBdr>
        <w:top w:val="none" w:sz="0" w:space="0" w:color="auto"/>
        <w:left w:val="none" w:sz="0" w:space="0" w:color="auto"/>
        <w:bottom w:val="none" w:sz="0" w:space="0" w:color="auto"/>
        <w:right w:val="none" w:sz="0" w:space="0" w:color="auto"/>
      </w:divBdr>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ssoainformacao.gov.br/precedentes/MD/CEX/60502001246201564.pdf"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www.acessoainformacao.gov.br/precedentes/SUSEP/1264900160720148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essoainformacao.gov.br/precedentes/MJ/DPRF/08850002843201455%282%29.pdf"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acessoainformacao.gov.br/precedentes/MEC/CAPES/23480000183201506.pdf" TargetMode="External"/><Relationship Id="rId4" Type="http://schemas.openxmlformats.org/officeDocument/2006/relationships/settings" Target="settings.xml"/><Relationship Id="rId9" Type="http://schemas.openxmlformats.org/officeDocument/2006/relationships/hyperlink" Target="http://www.acessoainformacao.gov.br/precedentes/PR/SECOM-PR/00077000754201561%2000077000779201564.pdf"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CE2A61A9D1E54E9FFF80C354E949D4" ma:contentTypeVersion="6" ma:contentTypeDescription="Crear nuevo documento." ma:contentTypeScope="" ma:versionID="487f3bd857bdde3e25c43bd2e9ae58c6">
  <xsd:schema xmlns:xsd="http://www.w3.org/2001/XMLSchema" xmlns:xs="http://www.w3.org/2001/XMLSchema" xmlns:p="http://schemas.microsoft.com/office/2006/metadata/properties" xmlns:ns2="f4d36732-e6c1-4d35-a74a-a5258d763a75" targetNamespace="http://schemas.microsoft.com/office/2006/metadata/properties" ma:root="true" ma:fieldsID="d44ecd57ea47e0128ade2fecc7857a5d"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Palabras clave de empresa"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36D91C55-9A6A-4E65-AD12-17AC90F06FDD}"/>
</file>

<file path=customXml/itemProps2.xml><?xml version="1.0" encoding="utf-8"?>
<ds:datastoreItem xmlns:ds="http://schemas.openxmlformats.org/officeDocument/2006/customXml" ds:itemID="{5F5DB0DE-A95F-40AF-A4CF-96572C70A2FA}"/>
</file>

<file path=customXml/itemProps3.xml><?xml version="1.0" encoding="utf-8"?>
<ds:datastoreItem xmlns:ds="http://schemas.openxmlformats.org/officeDocument/2006/customXml" ds:itemID="{318620BF-FB5F-4222-823E-381C5839A24F}"/>
</file>

<file path=docProps/app.xml><?xml version="1.0" encoding="utf-8"?>
<Properties xmlns="http://schemas.openxmlformats.org/officeDocument/2006/extended-properties" xmlns:vt="http://schemas.openxmlformats.org/officeDocument/2006/docPropsVTypes">
  <Template>Normal</Template>
  <TotalTime>9</TotalTime>
  <Pages>4</Pages>
  <Words>1180</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Miguel Christophe Molina Alcántara</cp:lastModifiedBy>
  <cp:revision>5</cp:revision>
  <cp:lastPrinted>2015-11-23T17:16:00Z</cp:lastPrinted>
  <dcterms:created xsi:type="dcterms:W3CDTF">2015-12-01T18:19:00Z</dcterms:created>
  <dcterms:modified xsi:type="dcterms:W3CDTF">2015-12-16T01:01:00Z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