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EE" w:rsidRDefault="00AC7955" w:rsidP="00AC7955">
      <w:pPr>
        <w:spacing w:after="0" w:line="240" w:lineRule="auto"/>
        <w:jc w:val="center"/>
        <w:rPr>
          <w:rStyle w:val="TtulodoLivro"/>
          <w:sz w:val="28"/>
          <w:szCs w:val="28"/>
        </w:rPr>
      </w:pPr>
      <w:r w:rsidRPr="00AC7955">
        <w:rPr>
          <w:rStyle w:val="TtulodoLivro"/>
          <w:sz w:val="28"/>
          <w:szCs w:val="28"/>
        </w:rPr>
        <w:t>Primer Debate Temático</w:t>
      </w:r>
    </w:p>
    <w:p w:rsidR="00AC7955" w:rsidRDefault="00AC7955" w:rsidP="00AC7955">
      <w:pPr>
        <w:spacing w:after="0" w:line="240" w:lineRule="auto"/>
        <w:jc w:val="center"/>
        <w:rPr>
          <w:rFonts w:ascii="Verdana" w:hAnsi="Verdana"/>
          <w:b/>
          <w:u w:val="single"/>
        </w:rPr>
      </w:pPr>
      <w:r w:rsidRPr="0033282F">
        <w:rPr>
          <w:rFonts w:ascii="Verdana" w:hAnsi="Verdana"/>
          <w:b/>
          <w:u w:val="single"/>
        </w:rPr>
        <w:t xml:space="preserve">Hoja de Datos </w:t>
      </w:r>
    </w:p>
    <w:p w:rsidR="00AC7955" w:rsidRPr="00AC7955" w:rsidRDefault="00AC7955" w:rsidP="00AC7955">
      <w:pPr>
        <w:spacing w:after="0" w:line="240" w:lineRule="auto"/>
        <w:jc w:val="center"/>
        <w:rPr>
          <w:rFonts w:ascii="Verdana" w:hAnsi="Verdana"/>
          <w:b/>
          <w:u w:val="single"/>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008"/>
      </w:tblGrid>
      <w:tr w:rsidR="00882082" w:rsidRPr="00AC7955" w:rsidTr="00AC7955">
        <w:tc>
          <w:tcPr>
            <w:tcW w:w="8978" w:type="dxa"/>
            <w:gridSpan w:val="2"/>
            <w:shd w:val="clear" w:color="auto" w:fill="D9D9D9" w:themeFill="background1" w:themeFillShade="D9"/>
          </w:tcPr>
          <w:p w:rsidR="00882082" w:rsidRPr="00553A7A" w:rsidRDefault="00553A7A" w:rsidP="008E056E">
            <w:pPr>
              <w:spacing w:after="0" w:line="240" w:lineRule="auto"/>
              <w:jc w:val="center"/>
              <w:rPr>
                <w:rFonts w:ascii="Verdana" w:eastAsia="Times New Roman" w:hAnsi="Verdana" w:cs="Arial"/>
                <w:b/>
                <w:iCs/>
              </w:rPr>
            </w:pPr>
            <w:r w:rsidRPr="00553A7A">
              <w:rPr>
                <w:rFonts w:ascii="Verdana" w:eastAsia="Calibri" w:hAnsi="Verdana" w:cs="Times New Roman"/>
                <w:b/>
                <w:color w:val="000000"/>
              </w:rPr>
              <w:t>Solicitante Frecuentes/Abuso del derecho de acceso a la información</w:t>
            </w:r>
            <w:r w:rsidR="008E056E" w:rsidRPr="00553A7A">
              <w:rPr>
                <w:rFonts w:ascii="Verdana" w:eastAsia="Calibri" w:hAnsi="Verdana" w:cs="Times New Roman"/>
                <w:b/>
                <w:color w:val="000000"/>
              </w:rPr>
              <w:t xml:space="preserve"> </w:t>
            </w:r>
          </w:p>
        </w:tc>
      </w:tr>
      <w:tr w:rsidR="00522F6E" w:rsidRPr="00AC7955" w:rsidTr="009F575A">
        <w:tc>
          <w:tcPr>
            <w:tcW w:w="1970" w:type="dxa"/>
            <w:shd w:val="clear" w:color="auto" w:fill="auto"/>
          </w:tcPr>
          <w:p w:rsidR="00522F6E" w:rsidRPr="00AC7955" w:rsidRDefault="005E04AA"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Breve </w:t>
            </w:r>
            <w:r w:rsidR="00882082" w:rsidRPr="00AC7955">
              <w:rPr>
                <w:rFonts w:ascii="Verdana" w:eastAsia="Calibri" w:hAnsi="Verdana" w:cs="Times New Roman"/>
                <w:b/>
                <w:sz w:val="18"/>
                <w:szCs w:val="18"/>
                <w:lang w:val="es-MX"/>
              </w:rPr>
              <w:t>Descripción</w:t>
            </w:r>
          </w:p>
        </w:tc>
        <w:tc>
          <w:tcPr>
            <w:tcW w:w="7008" w:type="dxa"/>
            <w:shd w:val="clear" w:color="auto" w:fill="auto"/>
          </w:tcPr>
          <w:p w:rsidR="001D1FB7" w:rsidRDefault="001D1FB7" w:rsidP="00191369">
            <w:pPr>
              <w:jc w:val="both"/>
              <w:rPr>
                <w:rFonts w:ascii="Verdana" w:eastAsia="Times New Roman" w:hAnsi="Verdana" w:cs="Arial"/>
                <w:sz w:val="20"/>
                <w:szCs w:val="20"/>
                <w:lang w:val="es-MX" w:eastAsia="es-ES"/>
              </w:rPr>
            </w:pPr>
          </w:p>
          <w:p w:rsidR="00191369" w:rsidRPr="00466AAD" w:rsidRDefault="00191369" w:rsidP="00191369">
            <w:pPr>
              <w:jc w:val="both"/>
              <w:rPr>
                <w:rFonts w:ascii="Verdana" w:eastAsia="Times New Roman" w:hAnsi="Verdana" w:cs="Arial"/>
                <w:sz w:val="20"/>
                <w:szCs w:val="20"/>
                <w:lang w:val="es-MX" w:eastAsia="es-ES"/>
              </w:rPr>
            </w:pPr>
            <w:r>
              <w:rPr>
                <w:rFonts w:ascii="Verdana" w:eastAsia="Times New Roman" w:hAnsi="Verdana" w:cs="Arial"/>
                <w:sz w:val="20"/>
                <w:szCs w:val="20"/>
                <w:lang w:val="es-MX" w:eastAsia="es-ES"/>
              </w:rPr>
              <w:t xml:space="preserve">Se considera que, a fin de delimitar nuestro tema, puedan </w:t>
            </w:r>
            <w:r w:rsidRPr="00466AAD">
              <w:rPr>
                <w:rFonts w:ascii="Verdana" w:eastAsia="Times New Roman" w:hAnsi="Verdana" w:cs="Arial"/>
                <w:sz w:val="20"/>
                <w:szCs w:val="20"/>
                <w:lang w:val="es-MX" w:eastAsia="es-ES"/>
              </w:rPr>
              <w:t>desarrollarse brevemente algunas reflexiones que, a manera de pregunta, sirvan como facilitadores del debate, a saber:</w:t>
            </w:r>
          </w:p>
          <w:p w:rsidR="00191369" w:rsidRPr="00466AAD" w:rsidRDefault="00191369" w:rsidP="00191369">
            <w:pPr>
              <w:pStyle w:val="PargrafodaLista"/>
              <w:numPr>
                <w:ilvl w:val="0"/>
                <w:numId w:val="6"/>
              </w:numPr>
              <w:suppressAutoHyphens/>
              <w:spacing w:after="0" w:line="240" w:lineRule="auto"/>
              <w:jc w:val="both"/>
            </w:pPr>
            <w:r w:rsidRPr="00466AAD">
              <w:rPr>
                <w:rFonts w:ascii="Verdana" w:eastAsia="Times New Roman" w:hAnsi="Verdana" w:cs="Arial"/>
                <w:sz w:val="20"/>
                <w:szCs w:val="20"/>
                <w:lang w:val="es-MX" w:eastAsia="es-ES"/>
              </w:rPr>
              <w:t>¿Cuándo estamos ante el abuso de un derecho?</w:t>
            </w:r>
          </w:p>
          <w:p w:rsidR="00191369" w:rsidRPr="00466AAD" w:rsidRDefault="00191369" w:rsidP="00191369">
            <w:pPr>
              <w:pStyle w:val="PargrafodaLista"/>
              <w:numPr>
                <w:ilvl w:val="0"/>
                <w:numId w:val="6"/>
              </w:numPr>
              <w:suppressAutoHyphens/>
              <w:spacing w:after="0" w:line="240" w:lineRule="auto"/>
              <w:jc w:val="both"/>
            </w:pPr>
            <w:r w:rsidRPr="00466AAD">
              <w:rPr>
                <w:rFonts w:ascii="Verdana" w:eastAsia="Times New Roman" w:hAnsi="Verdana" w:cs="Arial"/>
                <w:sz w:val="20"/>
                <w:szCs w:val="20"/>
                <w:lang w:val="es-MX" w:eastAsia="es-ES"/>
              </w:rPr>
              <w:t>¿Hay criterios objetivos para sostener que existe abuso del derecho de acceso a la información?</w:t>
            </w:r>
          </w:p>
          <w:p w:rsidR="00674012" w:rsidRPr="00466AAD" w:rsidRDefault="00191369" w:rsidP="00191369">
            <w:pPr>
              <w:pStyle w:val="PargrafodaLista"/>
              <w:numPr>
                <w:ilvl w:val="0"/>
                <w:numId w:val="6"/>
              </w:numPr>
              <w:suppressAutoHyphens/>
              <w:spacing w:after="0" w:line="240" w:lineRule="auto"/>
              <w:jc w:val="both"/>
            </w:pPr>
            <w:r w:rsidRPr="00466AAD">
              <w:rPr>
                <w:rFonts w:ascii="Verdana" w:eastAsia="Times New Roman" w:hAnsi="Verdana" w:cs="Arial"/>
                <w:sz w:val="20"/>
                <w:szCs w:val="20"/>
                <w:lang w:val="es-MX" w:eastAsia="es-ES"/>
              </w:rPr>
              <w:t>¿Qué consecuencias pueden derivar del abuso del derecho de acceso a la información?</w:t>
            </w:r>
          </w:p>
          <w:p w:rsidR="00AC7955" w:rsidRPr="00FD70BE" w:rsidRDefault="00FD70BE" w:rsidP="00191369">
            <w:pPr>
              <w:pStyle w:val="PargrafodaLista"/>
              <w:numPr>
                <w:ilvl w:val="0"/>
                <w:numId w:val="6"/>
              </w:numPr>
              <w:suppressAutoHyphens/>
              <w:spacing w:after="0" w:line="240" w:lineRule="auto"/>
              <w:jc w:val="both"/>
              <w:rPr>
                <w:color w:val="FF0000"/>
              </w:rPr>
            </w:pPr>
            <w:r w:rsidRPr="00FD70BE">
              <w:rPr>
                <w:rFonts w:ascii="Verdana" w:eastAsia="Times New Roman" w:hAnsi="Verdana" w:cs="Arial"/>
                <w:color w:val="FF0000"/>
                <w:sz w:val="20"/>
                <w:szCs w:val="20"/>
                <w:lang w:val="es-MX" w:eastAsia="es-ES"/>
              </w:rPr>
              <w:t>¿</w:t>
            </w:r>
            <w:r w:rsidR="00191369" w:rsidRPr="00FD70BE">
              <w:rPr>
                <w:color w:val="FF0000"/>
              </w:rPr>
              <w:t>Es posible prohibir el acceso, o restringirlo, una vez identificado el abuso?</w:t>
            </w:r>
            <w:r w:rsidRPr="00FD70BE">
              <w:rPr>
                <w:color w:val="FF0000"/>
              </w:rPr>
              <w:t xml:space="preserve"> </w:t>
            </w:r>
            <w:r w:rsidRPr="00FD70BE">
              <w:rPr>
                <w:rFonts w:ascii="Verdana" w:eastAsia="Times New Roman" w:hAnsi="Verdana" w:cs="Arial"/>
                <w:color w:val="FF0000"/>
                <w:sz w:val="20"/>
                <w:szCs w:val="20"/>
                <w:lang w:val="es-MX" w:eastAsia="es-ES"/>
              </w:rPr>
              <w:t>¿</w:t>
            </w:r>
            <w:r w:rsidR="00191369" w:rsidRPr="00FD70BE">
              <w:rPr>
                <w:color w:val="FF0000"/>
              </w:rPr>
              <w:t>Como?</w:t>
            </w:r>
          </w:p>
          <w:p w:rsidR="00FD70BE" w:rsidRPr="001D1FB7" w:rsidRDefault="00FD70BE" w:rsidP="00191369">
            <w:pPr>
              <w:pStyle w:val="PargrafodaLista"/>
              <w:numPr>
                <w:ilvl w:val="0"/>
                <w:numId w:val="6"/>
              </w:numPr>
              <w:suppressAutoHyphens/>
              <w:spacing w:after="0" w:line="240" w:lineRule="auto"/>
              <w:jc w:val="both"/>
            </w:pPr>
            <w:r w:rsidRPr="00FD70BE">
              <w:rPr>
                <w:rFonts w:ascii="Verdana" w:eastAsia="Times New Roman" w:hAnsi="Verdana" w:cs="Arial"/>
                <w:color w:val="FF0000"/>
                <w:sz w:val="20"/>
                <w:szCs w:val="20"/>
                <w:lang w:val="es-MX" w:eastAsia="es-ES"/>
              </w:rPr>
              <w:t>¿</w:t>
            </w:r>
            <w:r w:rsidRPr="00FD70BE">
              <w:rPr>
                <w:color w:val="FF0000"/>
              </w:rPr>
              <w:t>Cuáles son las experiencias de cada país sobre ese tema?</w:t>
            </w:r>
          </w:p>
          <w:p w:rsidR="001D1FB7" w:rsidRPr="00674012" w:rsidRDefault="001D1FB7" w:rsidP="001D1FB7">
            <w:pPr>
              <w:pStyle w:val="PargrafodaLista"/>
              <w:suppressAutoHyphens/>
              <w:spacing w:after="0" w:line="240" w:lineRule="auto"/>
              <w:jc w:val="both"/>
            </w:pPr>
          </w:p>
        </w:tc>
      </w:tr>
      <w:tr w:rsidR="00522F6E" w:rsidRPr="00AC7955" w:rsidTr="009F575A">
        <w:tc>
          <w:tcPr>
            <w:tcW w:w="1970"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País</w:t>
            </w:r>
            <w:r w:rsidR="004C26D7">
              <w:rPr>
                <w:rFonts w:ascii="Verdana" w:eastAsia="Calibri" w:hAnsi="Verdana" w:cs="Times New Roman"/>
                <w:b/>
                <w:sz w:val="18"/>
                <w:szCs w:val="18"/>
                <w:lang w:val="es-MX"/>
              </w:rPr>
              <w:t>/Miembro</w:t>
            </w:r>
          </w:p>
        </w:tc>
        <w:tc>
          <w:tcPr>
            <w:tcW w:w="7008" w:type="dxa"/>
            <w:shd w:val="clear" w:color="auto" w:fill="auto"/>
          </w:tcPr>
          <w:p w:rsidR="00522F6E" w:rsidRPr="00AC7955" w:rsidRDefault="00553A7A" w:rsidP="00522F6E">
            <w:pPr>
              <w:autoSpaceDE w:val="0"/>
              <w:autoSpaceDN w:val="0"/>
              <w:adjustRightInd w:val="0"/>
              <w:spacing w:after="0" w:line="240" w:lineRule="auto"/>
              <w:rPr>
                <w:rFonts w:ascii="Verdana" w:eastAsia="Times New Roman" w:hAnsi="Verdana" w:cs="Arial"/>
                <w:iCs/>
              </w:rPr>
            </w:pPr>
            <w:r>
              <w:rPr>
                <w:rFonts w:ascii="Verdana" w:eastAsia="Times New Roman" w:hAnsi="Verdana" w:cs="Arial"/>
                <w:iCs/>
              </w:rPr>
              <w:t>Brasil</w:t>
            </w:r>
          </w:p>
        </w:tc>
      </w:tr>
      <w:tr w:rsidR="00522F6E" w:rsidRPr="00AC7955" w:rsidTr="009F575A">
        <w:tc>
          <w:tcPr>
            <w:tcW w:w="1970"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Consideraciones Generales </w:t>
            </w:r>
            <w:r w:rsidRPr="00AC7955">
              <w:rPr>
                <w:rFonts w:ascii="Verdana" w:eastAsia="Calibri" w:hAnsi="Verdana" w:cs="Times New Roman"/>
                <w:sz w:val="18"/>
                <w:szCs w:val="18"/>
                <w:lang w:val="es-MX"/>
              </w:rPr>
              <w:t>(Relevancia del tema)</w:t>
            </w:r>
          </w:p>
        </w:tc>
        <w:tc>
          <w:tcPr>
            <w:tcW w:w="7008" w:type="dxa"/>
            <w:shd w:val="clear" w:color="auto" w:fill="auto"/>
          </w:tcPr>
          <w:p w:rsidR="001D1FB7" w:rsidRDefault="001D1FB7" w:rsidP="00DD0F79">
            <w:pPr>
              <w:spacing w:after="0" w:line="240" w:lineRule="auto"/>
              <w:jc w:val="both"/>
              <w:rPr>
                <w:rFonts w:ascii="Verdana" w:eastAsia="Times New Roman" w:hAnsi="Verdana" w:cs="Arial"/>
                <w:iCs/>
                <w:sz w:val="20"/>
                <w:szCs w:val="20"/>
              </w:rPr>
            </w:pPr>
          </w:p>
          <w:p w:rsidR="00C4564C" w:rsidRDefault="00DD0F79" w:rsidP="00DD0F7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La temática de los solicitantes frecuentes/abuso de derecho es bastante relevante en el ámbito del derecho de acceso a la información. Primero, porque el abuso de derecho de un ciudadano puede significar un obstáculo a la utilización del mismo derecho por otros, una vez que determinada institución puede quedarse imposibilitada de atender a todos en un mismo período. Segundo, porque aún que no se </w:t>
            </w:r>
            <w:r w:rsidR="00CA2888">
              <w:rPr>
                <w:rFonts w:ascii="Verdana" w:eastAsia="Times New Roman" w:hAnsi="Verdana" w:cs="Arial"/>
                <w:iCs/>
                <w:sz w:val="20"/>
                <w:szCs w:val="20"/>
              </w:rPr>
              <w:t>perciba un daño objetivo a</w:t>
            </w:r>
            <w:r w:rsidR="00120637">
              <w:rPr>
                <w:rFonts w:ascii="Verdana" w:eastAsia="Times New Roman" w:hAnsi="Verdana" w:cs="Arial"/>
                <w:iCs/>
                <w:sz w:val="20"/>
                <w:szCs w:val="20"/>
              </w:rPr>
              <w:t xml:space="preserve">l derecho de terceros, es necesario reflexionar sobre hasta </w:t>
            </w:r>
            <w:r w:rsidR="00CA2888">
              <w:rPr>
                <w:rFonts w:ascii="Verdana" w:eastAsia="Times New Roman" w:hAnsi="Verdana" w:cs="Arial"/>
                <w:iCs/>
                <w:sz w:val="20"/>
                <w:szCs w:val="20"/>
              </w:rPr>
              <w:t>qué</w:t>
            </w:r>
            <w:r w:rsidR="00120637">
              <w:rPr>
                <w:rFonts w:ascii="Verdana" w:eastAsia="Times New Roman" w:hAnsi="Verdana" w:cs="Arial"/>
                <w:iCs/>
                <w:sz w:val="20"/>
                <w:szCs w:val="20"/>
              </w:rPr>
              <w:t xml:space="preserve"> punto la Administración debe dedicarse para atender a una sola persona, considerándose que se están utilizando recursos públicos.</w:t>
            </w:r>
          </w:p>
          <w:p w:rsidR="00C4564C" w:rsidRDefault="00C4564C" w:rsidP="00DD0F79">
            <w:pPr>
              <w:spacing w:after="0" w:line="240" w:lineRule="auto"/>
              <w:jc w:val="both"/>
              <w:rPr>
                <w:rFonts w:ascii="Verdana" w:eastAsia="Times New Roman" w:hAnsi="Verdana" w:cs="Arial"/>
                <w:iCs/>
                <w:sz w:val="20"/>
                <w:szCs w:val="20"/>
              </w:rPr>
            </w:pPr>
          </w:p>
          <w:p w:rsidR="002F397C" w:rsidRDefault="00E06573" w:rsidP="00DD0F7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Por otro lado, no se puede olvidar que el derecho de acceso a la información es un derecho instrumental garantizador de otros tantos derechos y, por eso, es fundamental tener mucha parsimonia cuando se discute imponer restricciones </w:t>
            </w:r>
            <w:r w:rsidR="000A1255">
              <w:rPr>
                <w:rFonts w:ascii="Verdana" w:eastAsia="Times New Roman" w:hAnsi="Verdana" w:cs="Arial"/>
                <w:iCs/>
                <w:sz w:val="20"/>
                <w:szCs w:val="20"/>
              </w:rPr>
              <w:t xml:space="preserve">a él, debiéndose, por lo tanto, siempre considerarse un caso concreto, de manera que no se críen reglas </w:t>
            </w:r>
            <w:r w:rsidR="002F397C">
              <w:rPr>
                <w:rFonts w:ascii="Verdana" w:eastAsia="Times New Roman" w:hAnsi="Verdana" w:cs="Arial"/>
                <w:iCs/>
                <w:sz w:val="20"/>
                <w:szCs w:val="20"/>
              </w:rPr>
              <w:t>desnecesarias.</w:t>
            </w:r>
          </w:p>
          <w:p w:rsidR="00E01B26" w:rsidRPr="00BB2492" w:rsidRDefault="00DD0F79" w:rsidP="00DD0F7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 </w:t>
            </w:r>
          </w:p>
        </w:tc>
      </w:tr>
      <w:tr w:rsidR="00522F6E" w:rsidRPr="006935B0" w:rsidTr="009F575A">
        <w:tc>
          <w:tcPr>
            <w:tcW w:w="1970" w:type="dxa"/>
            <w:shd w:val="clear" w:color="auto" w:fill="auto"/>
          </w:tcPr>
          <w:p w:rsidR="00882082" w:rsidRPr="00AC7955" w:rsidRDefault="00F01BA3"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 </w:t>
            </w:r>
            <w:r w:rsidR="00882082" w:rsidRPr="00AC7955">
              <w:rPr>
                <w:rFonts w:ascii="Verdana" w:eastAsia="Calibri" w:hAnsi="Verdana" w:cs="Times New Roman"/>
                <w:b/>
                <w:sz w:val="18"/>
                <w:szCs w:val="18"/>
                <w:lang w:val="es-MX"/>
              </w:rPr>
              <w:t xml:space="preserve">Consideraciones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(Posición sobre el tema)</w:t>
            </w:r>
          </w:p>
        </w:tc>
        <w:tc>
          <w:tcPr>
            <w:tcW w:w="7008" w:type="dxa"/>
            <w:shd w:val="clear" w:color="auto" w:fill="auto"/>
          </w:tcPr>
          <w:p w:rsidR="001D1FB7" w:rsidRDefault="001D1FB7" w:rsidP="007C6560">
            <w:pPr>
              <w:spacing w:after="0" w:line="240" w:lineRule="auto"/>
              <w:jc w:val="both"/>
              <w:rPr>
                <w:rFonts w:ascii="Verdana" w:eastAsia="Times New Roman" w:hAnsi="Verdana" w:cs="Arial"/>
                <w:iCs/>
                <w:sz w:val="20"/>
                <w:szCs w:val="20"/>
                <w:lang w:val="es-MX"/>
              </w:rPr>
            </w:pPr>
          </w:p>
          <w:p w:rsidR="009F575A" w:rsidRDefault="009F575A" w:rsidP="007C6560">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Caracterizar el abuso de derecho, aquí entendido como un exceso de solicitaciones por parte de una sola persona, no es una tarea fácil. Eso porque no existe un</w:t>
            </w:r>
            <w:r w:rsidR="00FA18F4">
              <w:rPr>
                <w:rFonts w:ascii="Verdana" w:eastAsia="Times New Roman" w:hAnsi="Verdana" w:cs="Arial"/>
                <w:iCs/>
                <w:sz w:val="20"/>
                <w:szCs w:val="20"/>
                <w:lang w:val="es-MX"/>
              </w:rPr>
              <w:t xml:space="preserve">a cantidad predefinida que pueda aplicarse a todos los órganos y entidades de la Administración Pública, una vez que hay distintas realidades de recursos humanos, gestión de información y organización institucional. </w:t>
            </w:r>
          </w:p>
          <w:p w:rsidR="00FA18F4" w:rsidRDefault="00FA18F4" w:rsidP="007C6560">
            <w:pPr>
              <w:spacing w:after="0" w:line="240" w:lineRule="auto"/>
              <w:jc w:val="both"/>
              <w:rPr>
                <w:rFonts w:ascii="Verdana" w:eastAsia="Times New Roman" w:hAnsi="Verdana" w:cs="Arial"/>
                <w:iCs/>
                <w:sz w:val="20"/>
                <w:szCs w:val="20"/>
                <w:lang w:val="es-MX"/>
              </w:rPr>
            </w:pPr>
          </w:p>
          <w:p w:rsidR="003E6DFA" w:rsidRDefault="00FA18F4" w:rsidP="007C6560">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 xml:space="preserve">Por esa razón, </w:t>
            </w:r>
            <w:r w:rsidR="003E6DFA">
              <w:rPr>
                <w:rFonts w:ascii="Verdana" w:eastAsia="Times New Roman" w:hAnsi="Verdana" w:cs="Arial"/>
                <w:iCs/>
                <w:sz w:val="20"/>
                <w:szCs w:val="20"/>
                <w:lang w:val="es-MX"/>
              </w:rPr>
              <w:t>como dicho anteriormente, es fundamental que se analice cada caso concreto, de modo a ser observadas las características específicas ahí presentes.</w:t>
            </w:r>
          </w:p>
          <w:p w:rsidR="003E6DFA" w:rsidRDefault="003E6DFA" w:rsidP="007C6560">
            <w:pPr>
              <w:spacing w:after="0" w:line="240" w:lineRule="auto"/>
              <w:jc w:val="both"/>
              <w:rPr>
                <w:rFonts w:ascii="Verdana" w:eastAsia="Times New Roman" w:hAnsi="Verdana" w:cs="Arial"/>
                <w:iCs/>
                <w:sz w:val="20"/>
                <w:szCs w:val="20"/>
                <w:lang w:val="es-MX"/>
              </w:rPr>
            </w:pPr>
          </w:p>
          <w:p w:rsidR="00C2023C" w:rsidRDefault="00C2023C"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lastRenderedPageBreak/>
              <w:t xml:space="preserve">Como ejemplo, vamos relatar dos situaciones de solicitantes frecuentes en que nos </w:t>
            </w:r>
            <w:r w:rsidR="00C74298">
              <w:rPr>
                <w:rFonts w:ascii="Verdana" w:eastAsia="Times New Roman" w:hAnsi="Verdana" w:cs="Arial"/>
                <w:iCs/>
                <w:sz w:val="20"/>
                <w:szCs w:val="20"/>
              </w:rPr>
              <w:t>envolvemos:</w:t>
            </w:r>
          </w:p>
          <w:p w:rsidR="00C2023C" w:rsidRDefault="00C2023C" w:rsidP="007C6560">
            <w:pPr>
              <w:spacing w:after="0" w:line="240" w:lineRule="auto"/>
              <w:jc w:val="both"/>
              <w:rPr>
                <w:rFonts w:ascii="Verdana" w:eastAsia="Times New Roman" w:hAnsi="Verdana" w:cs="Arial"/>
                <w:iCs/>
                <w:sz w:val="20"/>
                <w:szCs w:val="20"/>
              </w:rPr>
            </w:pPr>
          </w:p>
          <w:p w:rsidR="00C2023C" w:rsidRDefault="00735720"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Experiencia nº 1:</w:t>
            </w:r>
          </w:p>
          <w:p w:rsidR="00735720" w:rsidRDefault="00735720" w:rsidP="007C6560">
            <w:pPr>
              <w:spacing w:after="0" w:line="240" w:lineRule="auto"/>
              <w:jc w:val="both"/>
              <w:rPr>
                <w:rFonts w:ascii="Verdana" w:eastAsia="Times New Roman" w:hAnsi="Verdana" w:cs="Arial"/>
                <w:iCs/>
                <w:sz w:val="20"/>
                <w:szCs w:val="20"/>
              </w:rPr>
            </w:pPr>
          </w:p>
          <w:p w:rsidR="00735720" w:rsidRDefault="00735720"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Un joven de 18 años, alumno de un Instituto de Educación Superior brasileño realizó más de 100 solicitaciones al mismo Instituto en un período de aproximadamente 4 meses. Las instituciones de Educación generalmente </w:t>
            </w:r>
            <w:r w:rsidR="00A448BE">
              <w:rPr>
                <w:rFonts w:ascii="Verdana" w:eastAsia="Times New Roman" w:hAnsi="Verdana" w:cs="Arial"/>
                <w:iCs/>
                <w:sz w:val="20"/>
                <w:szCs w:val="20"/>
              </w:rPr>
              <w:t>presentan</w:t>
            </w:r>
            <w:r>
              <w:rPr>
                <w:rFonts w:ascii="Verdana" w:eastAsia="Times New Roman" w:hAnsi="Verdana" w:cs="Arial"/>
                <w:iCs/>
                <w:sz w:val="20"/>
                <w:szCs w:val="20"/>
              </w:rPr>
              <w:t xml:space="preserve"> </w:t>
            </w:r>
            <w:r w:rsidR="00A448BE">
              <w:rPr>
                <w:rFonts w:ascii="Verdana" w:eastAsia="Times New Roman" w:hAnsi="Verdana" w:cs="Arial"/>
                <w:iCs/>
                <w:sz w:val="20"/>
                <w:szCs w:val="20"/>
              </w:rPr>
              <w:t xml:space="preserve">una realidad de </w:t>
            </w:r>
            <w:r>
              <w:rPr>
                <w:rFonts w:ascii="Verdana" w:eastAsia="Times New Roman" w:hAnsi="Verdana" w:cs="Arial"/>
                <w:iCs/>
                <w:sz w:val="20"/>
                <w:szCs w:val="20"/>
              </w:rPr>
              <w:t xml:space="preserve">pocos empleados </w:t>
            </w:r>
            <w:r w:rsidR="00A448BE">
              <w:rPr>
                <w:rFonts w:ascii="Verdana" w:eastAsia="Times New Roman" w:hAnsi="Verdana" w:cs="Arial"/>
                <w:iCs/>
                <w:sz w:val="20"/>
                <w:szCs w:val="20"/>
              </w:rPr>
              <w:t xml:space="preserve">en las áreas de acceso a información (1 o 2 personas). Las solicitaciones del ciudadano tenían un claro carácter de control social y fiscalización de cuentas. Sus solicitaciones iban desde el </w:t>
            </w:r>
            <w:r w:rsidR="001D1FB7">
              <w:rPr>
                <w:rFonts w:ascii="Verdana" w:eastAsia="Times New Roman" w:hAnsi="Verdana" w:cs="Arial"/>
                <w:iCs/>
                <w:sz w:val="20"/>
                <w:szCs w:val="20"/>
              </w:rPr>
              <w:t>porqué</w:t>
            </w:r>
            <w:r w:rsidR="00A448BE">
              <w:rPr>
                <w:rFonts w:ascii="Verdana" w:eastAsia="Times New Roman" w:hAnsi="Verdana" w:cs="Arial"/>
                <w:iCs/>
                <w:sz w:val="20"/>
                <w:szCs w:val="20"/>
              </w:rPr>
              <w:t xml:space="preserve"> de los alumnos no teneren acceso al estacionamiento del Instituto hasta acceso a procesos de licitación que estaban siendo investigados y acceso a gastos con auxilio de viajes a profesores o administradores. El Instituto</w:t>
            </w:r>
            <w:r w:rsidR="003D5466">
              <w:rPr>
                <w:rFonts w:ascii="Verdana" w:eastAsia="Times New Roman" w:hAnsi="Verdana" w:cs="Arial"/>
                <w:iCs/>
                <w:sz w:val="20"/>
                <w:szCs w:val="20"/>
              </w:rPr>
              <w:t xml:space="preserve"> no conseguía responder a todos los pedidos y el ciudadano empezó a quejarse a la CGU. La opc</w:t>
            </w:r>
            <w:r w:rsidR="008A39C0">
              <w:rPr>
                <w:rFonts w:ascii="Verdana" w:eastAsia="Times New Roman" w:hAnsi="Verdana" w:cs="Arial"/>
                <w:iCs/>
                <w:sz w:val="20"/>
                <w:szCs w:val="20"/>
              </w:rPr>
              <w:t>ión adoptada en ese caso fue facilitar la comunicación</w:t>
            </w:r>
            <w:r w:rsidR="003D5466">
              <w:rPr>
                <w:rFonts w:ascii="Verdana" w:eastAsia="Times New Roman" w:hAnsi="Verdana" w:cs="Arial"/>
                <w:iCs/>
                <w:sz w:val="20"/>
                <w:szCs w:val="20"/>
              </w:rPr>
              <w:t xml:space="preserve"> entre la Institución y el ciudadano, hecha por la propia representación de CGU en la región donde se localizaba el Instituto Federal de Educación. La </w:t>
            </w:r>
            <w:r w:rsidR="008A39C0">
              <w:rPr>
                <w:rFonts w:ascii="Verdana" w:eastAsia="Times New Roman" w:hAnsi="Verdana" w:cs="Arial"/>
                <w:iCs/>
                <w:sz w:val="20"/>
                <w:szCs w:val="20"/>
              </w:rPr>
              <w:t>experiencia</w:t>
            </w:r>
            <w:r w:rsidR="003D5466">
              <w:rPr>
                <w:rFonts w:ascii="Verdana" w:eastAsia="Times New Roman" w:hAnsi="Verdana" w:cs="Arial"/>
                <w:iCs/>
                <w:sz w:val="20"/>
                <w:szCs w:val="20"/>
              </w:rPr>
              <w:t xml:space="preserve"> tuvo como objetivo no apenas obtener una solución adecuada a los recursos interpuestos a CGU, en función de una ausencia de respuesta del solicitado, sino orientar a las partes, con vistas a corregir desvíos de interpretación de la Ley y del Decreto de Acceso a Información. </w:t>
            </w:r>
            <w:r w:rsidR="008A39C0">
              <w:rPr>
                <w:rFonts w:ascii="Verdana" w:eastAsia="Times New Roman" w:hAnsi="Verdana" w:cs="Arial"/>
                <w:iCs/>
                <w:sz w:val="20"/>
                <w:szCs w:val="20"/>
              </w:rPr>
              <w:t>O</w:t>
            </w:r>
            <w:r w:rsidR="005119E5">
              <w:rPr>
                <w:rFonts w:ascii="Verdana" w:eastAsia="Times New Roman" w:hAnsi="Verdana" w:cs="Arial"/>
                <w:iCs/>
                <w:sz w:val="20"/>
                <w:szCs w:val="20"/>
              </w:rPr>
              <w:t xml:space="preserve">currió en dos sesiones, de forma que se orientó al ciudadano a </w:t>
            </w:r>
            <w:r w:rsidR="005039E1">
              <w:rPr>
                <w:rFonts w:ascii="Verdana" w:eastAsia="Times New Roman" w:hAnsi="Verdana" w:cs="Arial"/>
                <w:iCs/>
                <w:sz w:val="20"/>
                <w:szCs w:val="20"/>
              </w:rPr>
              <w:t>hacer solicitaciones más precisas y detalladas</w:t>
            </w:r>
            <w:r w:rsidR="0032028E">
              <w:rPr>
                <w:rFonts w:ascii="Verdana" w:eastAsia="Times New Roman" w:hAnsi="Verdana" w:cs="Arial"/>
                <w:iCs/>
                <w:sz w:val="20"/>
                <w:szCs w:val="20"/>
              </w:rPr>
              <w:t>, resaltando la importancia del control por parte da sociedad, al mismo tiempo que se demostró que el exceso de</w:t>
            </w:r>
            <w:r w:rsidR="007F25A3">
              <w:rPr>
                <w:rFonts w:ascii="Verdana" w:eastAsia="Times New Roman" w:hAnsi="Verdana" w:cs="Arial"/>
                <w:iCs/>
                <w:sz w:val="20"/>
                <w:szCs w:val="20"/>
              </w:rPr>
              <w:t xml:space="preserve"> solicitaciones imposibilitaba l</w:t>
            </w:r>
            <w:r w:rsidR="0032028E">
              <w:rPr>
                <w:rFonts w:ascii="Verdana" w:eastAsia="Times New Roman" w:hAnsi="Verdana" w:cs="Arial"/>
                <w:iCs/>
                <w:sz w:val="20"/>
                <w:szCs w:val="20"/>
              </w:rPr>
              <w:t xml:space="preserve">a propia institución de presentar respuestas adecuadas y con cualidad. </w:t>
            </w:r>
          </w:p>
          <w:p w:rsidR="00C2023C" w:rsidRDefault="00C2023C" w:rsidP="007C6560">
            <w:pPr>
              <w:spacing w:after="0" w:line="240" w:lineRule="auto"/>
              <w:jc w:val="both"/>
              <w:rPr>
                <w:rFonts w:ascii="Verdana" w:eastAsia="Times New Roman" w:hAnsi="Verdana" w:cs="Arial"/>
                <w:iCs/>
                <w:sz w:val="20"/>
                <w:szCs w:val="20"/>
              </w:rPr>
            </w:pPr>
          </w:p>
          <w:p w:rsidR="00FA18F4" w:rsidRDefault="009B7C29"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Experiencia nº 2:</w:t>
            </w:r>
          </w:p>
          <w:p w:rsidR="009B7C29" w:rsidRPr="003E6DFA" w:rsidRDefault="009B7C29" w:rsidP="007C6560">
            <w:pPr>
              <w:spacing w:after="0" w:line="240" w:lineRule="auto"/>
              <w:jc w:val="both"/>
              <w:rPr>
                <w:rFonts w:ascii="Verdana" w:eastAsia="Times New Roman" w:hAnsi="Verdana" w:cs="Arial"/>
                <w:iCs/>
                <w:sz w:val="20"/>
                <w:szCs w:val="20"/>
              </w:rPr>
            </w:pPr>
          </w:p>
          <w:p w:rsidR="00FA18F4" w:rsidRPr="003E6DFA" w:rsidRDefault="00A87041"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Un abogado </w:t>
            </w:r>
            <w:r w:rsidR="008130EA">
              <w:rPr>
                <w:rFonts w:ascii="Verdana" w:eastAsia="Times New Roman" w:hAnsi="Verdana" w:cs="Arial"/>
                <w:iCs/>
                <w:sz w:val="20"/>
                <w:szCs w:val="20"/>
              </w:rPr>
              <w:t xml:space="preserve">presentó más de 1000 (mil) solicitaciones de acceso a una Empresa de Energía Eléctrica Estatal en un período de aproximadamente 1 año. El señor es un representante administrativo de un gran número de clientes que reivindican </w:t>
            </w:r>
            <w:r w:rsidR="00FB7C1E">
              <w:rPr>
                <w:rFonts w:ascii="Verdana" w:eastAsia="Times New Roman" w:hAnsi="Verdana" w:cs="Arial"/>
                <w:iCs/>
                <w:sz w:val="20"/>
                <w:szCs w:val="20"/>
              </w:rPr>
              <w:t xml:space="preserve">una reparación financiera a </w:t>
            </w:r>
            <w:r w:rsidR="00D74B86">
              <w:rPr>
                <w:rFonts w:ascii="Verdana" w:eastAsia="Times New Roman" w:hAnsi="Verdana" w:cs="Arial"/>
                <w:iCs/>
                <w:sz w:val="20"/>
                <w:szCs w:val="20"/>
              </w:rPr>
              <w:t xml:space="preserve">una situación específica que se pasó en una región del país. Los procesos de reparación son demorados y el abogado se utiliza de la Ley de Acceso a la Información para hacer cuestionamientos que aceleren la tramitación de dichos procesos. Por ejemplo, solicita copias/vistas de inúmeros procesos, informaciones sobre el andamiento de denuncias hechas por el mismo. Muchas de las solicitaciones son repetidas. Otras ni siquiera son solicitaciones de acceso, sino manifestaciones de ombudsman, como denuncias y quejas. </w:t>
            </w:r>
            <w:r w:rsidR="00181BB4">
              <w:rPr>
                <w:rFonts w:ascii="Verdana" w:eastAsia="Times New Roman" w:hAnsi="Verdana" w:cs="Arial"/>
                <w:iCs/>
                <w:sz w:val="20"/>
                <w:szCs w:val="20"/>
              </w:rPr>
              <w:t xml:space="preserve">Importante subrayar que el mismo ciudadano ha hecho más de 5000 (cinco mil) manifestaciones en el ombudsman de la Empresa, muchas de las cuales son repetidas por medio de solicitaciones de acceso a la información. </w:t>
            </w:r>
          </w:p>
          <w:p w:rsidR="00FA18F4" w:rsidRDefault="00496055"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En ese caso, la propia Empresa intentó dialogar con el ciudadano, pero la cantidad de solicitaciones no ha disminuido. </w:t>
            </w:r>
            <w:r w:rsidR="005E2300">
              <w:rPr>
                <w:rFonts w:ascii="Verdana" w:eastAsia="Times New Roman" w:hAnsi="Verdana" w:cs="Arial"/>
                <w:iCs/>
                <w:sz w:val="20"/>
                <w:szCs w:val="20"/>
              </w:rPr>
              <w:t>Considerándose la cantidad de recursos recibidos en la CGU de este mismo ciudadano (cerca de 100)</w:t>
            </w:r>
            <w:r w:rsidR="0091169A">
              <w:rPr>
                <w:rFonts w:ascii="Verdana" w:eastAsia="Times New Roman" w:hAnsi="Verdana" w:cs="Arial"/>
                <w:iCs/>
                <w:sz w:val="20"/>
                <w:szCs w:val="20"/>
              </w:rPr>
              <w:t xml:space="preserve">, el Secretario-Ejecutivo de CGU le advirtió </w:t>
            </w:r>
            <w:r w:rsidR="0091169A">
              <w:rPr>
                <w:rFonts w:ascii="Verdana" w:eastAsia="Times New Roman" w:hAnsi="Verdana" w:cs="Arial"/>
                <w:iCs/>
                <w:sz w:val="20"/>
                <w:szCs w:val="20"/>
              </w:rPr>
              <w:lastRenderedPageBreak/>
              <w:t>para que se abstenga de proponer pedidos abusivos de información, sea por su cantidad, carácter repetitivo o sistemático, que causen trastorno al bueno funcionamiento de las instancias de apelación de la Ley y perjuicio al derecho de acceso de otros ciudadanos.</w:t>
            </w:r>
            <w:r w:rsidR="007F7F09">
              <w:rPr>
                <w:rFonts w:ascii="Verdana" w:eastAsia="Times New Roman" w:hAnsi="Verdana" w:cs="Arial"/>
                <w:iCs/>
                <w:sz w:val="20"/>
                <w:szCs w:val="20"/>
              </w:rPr>
              <w:t xml:space="preserve"> Sin embargo, el abogado continuó a hacer solicitaciones en exceso. </w:t>
            </w:r>
          </w:p>
          <w:p w:rsidR="00DD5F9E" w:rsidRDefault="00DD5F9E" w:rsidP="007C6560">
            <w:pPr>
              <w:spacing w:after="0" w:line="240" w:lineRule="auto"/>
              <w:jc w:val="both"/>
              <w:rPr>
                <w:rFonts w:ascii="Verdana" w:eastAsia="Times New Roman" w:hAnsi="Verdana" w:cs="Arial"/>
                <w:iCs/>
                <w:sz w:val="20"/>
                <w:szCs w:val="20"/>
              </w:rPr>
            </w:pPr>
          </w:p>
          <w:p w:rsidR="00B23450" w:rsidRDefault="00B23450"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Ejemplo nº3:</w:t>
            </w:r>
          </w:p>
          <w:p w:rsidR="00B23450" w:rsidRDefault="00B23450" w:rsidP="007C6560">
            <w:pPr>
              <w:spacing w:after="0" w:line="240" w:lineRule="auto"/>
              <w:jc w:val="both"/>
              <w:rPr>
                <w:rFonts w:ascii="Verdana" w:eastAsia="Times New Roman" w:hAnsi="Verdana" w:cs="Arial"/>
                <w:iCs/>
                <w:sz w:val="20"/>
                <w:szCs w:val="20"/>
              </w:rPr>
            </w:pPr>
          </w:p>
          <w:p w:rsidR="00B23450" w:rsidRDefault="00B23450"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Un ciudadano solicitó informaciones a un Banco Público, del cual fue despedido años antes. La relación entre el Banco y el ciudadano se </w:t>
            </w:r>
            <w:r w:rsidR="00F84A90">
              <w:rPr>
                <w:rFonts w:ascii="Verdana" w:eastAsia="Times New Roman" w:hAnsi="Verdana" w:cs="Arial"/>
                <w:iCs/>
                <w:sz w:val="20"/>
                <w:szCs w:val="20"/>
              </w:rPr>
              <w:t xml:space="preserve">degradó y el empezó a presentar inúmeras solicitaciones de información. Ese ejemplo se parece con el anterior, </w:t>
            </w:r>
            <w:r w:rsidR="00221912">
              <w:rPr>
                <w:rFonts w:ascii="Verdana" w:eastAsia="Times New Roman" w:hAnsi="Verdana" w:cs="Arial"/>
                <w:iCs/>
                <w:sz w:val="20"/>
                <w:szCs w:val="20"/>
              </w:rPr>
              <w:t xml:space="preserve">considerándose la gran cuantidad de solicitaciones. Sin embargo, tiene una diferencia: se percibió que muchas de las informaciones solicitadas por el ciudadano ya habían sido fornecidas anteriormente, lo que </w:t>
            </w:r>
            <w:r w:rsidR="005B2CEB">
              <w:rPr>
                <w:rFonts w:ascii="Verdana" w:eastAsia="Times New Roman" w:hAnsi="Verdana" w:cs="Arial"/>
                <w:iCs/>
                <w:sz w:val="20"/>
                <w:szCs w:val="20"/>
              </w:rPr>
              <w:t>resultó en una advertencia por parte de la CGU. Del mismo modo, el ciudadano continuó a realizar solicitaciones.</w:t>
            </w:r>
            <w:r w:rsidR="00221912">
              <w:rPr>
                <w:rFonts w:ascii="Verdana" w:eastAsia="Times New Roman" w:hAnsi="Verdana" w:cs="Arial"/>
                <w:iCs/>
                <w:sz w:val="20"/>
                <w:szCs w:val="20"/>
              </w:rPr>
              <w:t xml:space="preserve"> </w:t>
            </w:r>
          </w:p>
          <w:p w:rsidR="00B23450" w:rsidRDefault="00B23450" w:rsidP="007C6560">
            <w:pPr>
              <w:spacing w:after="0" w:line="240" w:lineRule="auto"/>
              <w:jc w:val="both"/>
              <w:rPr>
                <w:rFonts w:ascii="Verdana" w:eastAsia="Times New Roman" w:hAnsi="Verdana" w:cs="Arial"/>
                <w:iCs/>
                <w:sz w:val="20"/>
                <w:szCs w:val="20"/>
              </w:rPr>
            </w:pPr>
            <w:bookmarkStart w:id="0" w:name="_GoBack"/>
            <w:bookmarkEnd w:id="0"/>
          </w:p>
          <w:p w:rsidR="00DD5F9E" w:rsidRPr="00DD5F9E" w:rsidRDefault="00DD5F9E"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En eses ejemplos, se percibe que el medio aparentemente más adecuado de tratar con solicitantes frecuentes y abuso de de</w:t>
            </w:r>
            <w:r w:rsidR="008A39C0">
              <w:rPr>
                <w:rFonts w:ascii="Verdana" w:eastAsia="Times New Roman" w:hAnsi="Verdana" w:cs="Arial"/>
                <w:iCs/>
                <w:sz w:val="20"/>
                <w:szCs w:val="20"/>
              </w:rPr>
              <w:t xml:space="preserve">recho es por medio del diálogo, </w:t>
            </w:r>
            <w:r>
              <w:rPr>
                <w:rFonts w:ascii="Verdana" w:eastAsia="Times New Roman" w:hAnsi="Verdana" w:cs="Arial"/>
                <w:iCs/>
                <w:sz w:val="20"/>
                <w:szCs w:val="20"/>
              </w:rPr>
              <w:t xml:space="preserve">de la comunicación interpersonal. </w:t>
            </w:r>
            <w:r w:rsidRPr="00DD5F9E">
              <w:rPr>
                <w:rFonts w:ascii="Verdana" w:eastAsia="Times New Roman" w:hAnsi="Verdana" w:cs="Arial"/>
                <w:iCs/>
                <w:sz w:val="20"/>
                <w:szCs w:val="20"/>
              </w:rPr>
              <w:t xml:space="preserve">Es una oportunidad de esclarecer a las partes implicadas sus derechos y deberes. </w:t>
            </w:r>
            <w:r w:rsidR="0027058F">
              <w:rPr>
                <w:rFonts w:ascii="Verdana" w:eastAsia="Times New Roman" w:hAnsi="Verdana" w:cs="Arial"/>
                <w:iCs/>
                <w:sz w:val="20"/>
                <w:szCs w:val="20"/>
              </w:rPr>
              <w:t xml:space="preserve">No obstante, por veces el diálogo no es productivo, como en el ejemplo dos. Y es en esas situaciones en que se observa una dificultad para que se ponga un fin al conflicto. En el ejemplo de CGU, mismo después de la advertencia, el ciudadano continuó a hacer múltiples solicitaciones de acceso a la información. Eso se debe al fato de que en Brasil no se existe la posibilidad de aplicación de puniciones en esas situaciones. No se puede, por ejemplo, prohibir el ciudadano de hacer solicitaciones. </w:t>
            </w:r>
          </w:p>
          <w:p w:rsidR="00DD5F9E" w:rsidRDefault="00DD5F9E" w:rsidP="007C6560">
            <w:pPr>
              <w:spacing w:after="0" w:line="240" w:lineRule="auto"/>
              <w:jc w:val="both"/>
              <w:rPr>
                <w:rFonts w:ascii="Verdana" w:eastAsia="Times New Roman" w:hAnsi="Verdana" w:cs="Arial"/>
                <w:iCs/>
                <w:sz w:val="20"/>
                <w:szCs w:val="20"/>
              </w:rPr>
            </w:pPr>
          </w:p>
          <w:p w:rsidR="00FA18F4" w:rsidRPr="00DD5F9E" w:rsidRDefault="00103E77"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Por otro lado, el Decreto nº 7.724/12</w:t>
            </w:r>
            <w:r w:rsidR="005B4E50">
              <w:rPr>
                <w:rStyle w:val="Refdenotaderodap"/>
                <w:rFonts w:ascii="Verdana" w:eastAsia="Times New Roman" w:hAnsi="Verdana" w:cs="Arial"/>
                <w:iCs/>
                <w:sz w:val="20"/>
                <w:szCs w:val="20"/>
              </w:rPr>
              <w:footnoteReference w:id="1"/>
            </w:r>
            <w:r>
              <w:rPr>
                <w:rFonts w:ascii="Verdana" w:eastAsia="Times New Roman" w:hAnsi="Verdana" w:cs="Arial"/>
                <w:iCs/>
                <w:sz w:val="20"/>
                <w:szCs w:val="20"/>
              </w:rPr>
              <w:t>, que reglamenta la Ley de Acceso a la Información de Brasil, nº 12.527/11</w:t>
            </w:r>
            <w:r w:rsidR="005B4E50">
              <w:rPr>
                <w:rStyle w:val="Refdenotaderodap"/>
                <w:rFonts w:ascii="Verdana" w:eastAsia="Times New Roman" w:hAnsi="Verdana" w:cs="Arial"/>
                <w:iCs/>
                <w:sz w:val="20"/>
                <w:szCs w:val="20"/>
              </w:rPr>
              <w:footnoteReference w:id="2"/>
            </w:r>
            <w:r>
              <w:rPr>
                <w:rFonts w:ascii="Verdana" w:eastAsia="Times New Roman" w:hAnsi="Verdana" w:cs="Arial"/>
                <w:iCs/>
                <w:sz w:val="20"/>
                <w:szCs w:val="20"/>
              </w:rPr>
              <w:t xml:space="preserve">, dispone en el art. 13 que </w:t>
            </w:r>
            <w:r w:rsidRPr="007F25A3">
              <w:rPr>
                <w:rFonts w:ascii="Verdana" w:eastAsia="Times New Roman" w:hAnsi="Verdana" w:cs="Arial"/>
                <w:b/>
                <w:iCs/>
                <w:sz w:val="20"/>
                <w:szCs w:val="20"/>
              </w:rPr>
              <w:t>no serán atendidos pedidos desproporcionales</w:t>
            </w:r>
            <w:r>
              <w:rPr>
                <w:rFonts w:ascii="Verdana" w:eastAsia="Times New Roman" w:hAnsi="Verdana" w:cs="Arial"/>
                <w:iCs/>
                <w:sz w:val="20"/>
                <w:szCs w:val="20"/>
              </w:rPr>
              <w:t>.</w:t>
            </w:r>
            <w:r w:rsidR="009F50A9">
              <w:rPr>
                <w:rFonts w:ascii="Verdana" w:eastAsia="Times New Roman" w:hAnsi="Verdana" w:cs="Arial"/>
                <w:iCs/>
                <w:sz w:val="20"/>
                <w:szCs w:val="20"/>
              </w:rPr>
              <w:t xml:space="preserve"> A ese </w:t>
            </w:r>
            <w:r w:rsidR="007F25A3">
              <w:rPr>
                <w:rFonts w:ascii="Verdana" w:eastAsia="Times New Roman" w:hAnsi="Verdana" w:cs="Arial"/>
                <w:iCs/>
                <w:sz w:val="20"/>
                <w:szCs w:val="20"/>
              </w:rPr>
              <w:t>artículo</w:t>
            </w:r>
            <w:r w:rsidR="009F50A9">
              <w:rPr>
                <w:rFonts w:ascii="Verdana" w:eastAsia="Times New Roman" w:hAnsi="Verdana" w:cs="Arial"/>
                <w:iCs/>
                <w:sz w:val="20"/>
                <w:szCs w:val="20"/>
              </w:rPr>
              <w:t xml:space="preserve"> se combinan las redacciones de la Ley del Proceso Administrativo, del Código de Proceso Civil y del Código Civil brasileño, que buscan presentar los deberes de los administrados y la situación de abuso de derecho:</w:t>
            </w:r>
          </w:p>
          <w:p w:rsidR="00FA18F4" w:rsidRPr="00DD5F9E" w:rsidRDefault="00FA18F4" w:rsidP="007C6560">
            <w:pPr>
              <w:spacing w:after="0" w:line="240" w:lineRule="auto"/>
              <w:jc w:val="both"/>
              <w:rPr>
                <w:rFonts w:ascii="Verdana" w:eastAsia="Times New Roman" w:hAnsi="Verdana" w:cs="Arial"/>
                <w:iCs/>
                <w:sz w:val="20"/>
                <w:szCs w:val="20"/>
              </w:rPr>
            </w:pPr>
          </w:p>
          <w:p w:rsidR="00FA18F4" w:rsidRDefault="009F50A9" w:rsidP="007C6560">
            <w:pPr>
              <w:spacing w:after="0" w:line="240" w:lineRule="auto"/>
              <w:jc w:val="both"/>
              <w:rPr>
                <w:rFonts w:ascii="Verdana" w:eastAsia="Times New Roman" w:hAnsi="Verdana" w:cs="Arial"/>
                <w:iCs/>
                <w:sz w:val="20"/>
                <w:szCs w:val="20"/>
              </w:rPr>
            </w:pPr>
            <w:bookmarkStart w:id="1" w:name="art4"/>
            <w:bookmarkEnd w:id="1"/>
            <w:r>
              <w:rPr>
                <w:rFonts w:ascii="Verdana" w:eastAsia="Times New Roman" w:hAnsi="Verdana" w:cs="Arial"/>
                <w:iCs/>
                <w:sz w:val="20"/>
                <w:szCs w:val="20"/>
              </w:rPr>
              <w:t xml:space="preserve">Ley del Proceso Administrativo, nº </w:t>
            </w:r>
            <w:r w:rsidR="00FA18F4" w:rsidRPr="0027058F">
              <w:rPr>
                <w:rFonts w:ascii="Verdana" w:eastAsia="Times New Roman" w:hAnsi="Verdana" w:cs="Arial"/>
                <w:iCs/>
                <w:sz w:val="20"/>
                <w:szCs w:val="20"/>
              </w:rPr>
              <w:t>9.784/99</w:t>
            </w:r>
            <w:r>
              <w:rPr>
                <w:rStyle w:val="Refdenotaderodap"/>
                <w:rFonts w:ascii="Verdana" w:eastAsia="Times New Roman" w:hAnsi="Verdana" w:cs="Arial"/>
                <w:iCs/>
                <w:sz w:val="20"/>
                <w:szCs w:val="20"/>
              </w:rPr>
              <w:footnoteReference w:id="3"/>
            </w:r>
            <w:r>
              <w:rPr>
                <w:rFonts w:ascii="Verdana" w:eastAsia="Times New Roman" w:hAnsi="Verdana" w:cs="Arial"/>
                <w:iCs/>
                <w:sz w:val="20"/>
                <w:szCs w:val="20"/>
              </w:rPr>
              <w:t>:</w:t>
            </w:r>
          </w:p>
          <w:p w:rsidR="00BD1BCA" w:rsidRPr="0027058F" w:rsidRDefault="00BD1BCA" w:rsidP="007C6560">
            <w:pPr>
              <w:spacing w:after="0" w:line="240" w:lineRule="auto"/>
              <w:jc w:val="both"/>
              <w:rPr>
                <w:rFonts w:ascii="Verdana" w:eastAsia="Times New Roman" w:hAnsi="Verdana" w:cs="Arial"/>
                <w:iCs/>
                <w:sz w:val="20"/>
                <w:szCs w:val="20"/>
              </w:rPr>
            </w:pPr>
          </w:p>
          <w:p w:rsidR="00FA18F4" w:rsidRPr="00C74298" w:rsidRDefault="00FA18F4" w:rsidP="007C6560">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Art. 4o São deveres do administrado perante a Administração, sem prejuízo de outros previstos em ato normativo:</w:t>
            </w:r>
          </w:p>
          <w:p w:rsidR="00FA18F4" w:rsidRPr="00C74298" w:rsidRDefault="00FA18F4" w:rsidP="007C6560">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w:t>
            </w:r>
          </w:p>
          <w:p w:rsidR="00FA18F4" w:rsidRPr="00C74298" w:rsidRDefault="00FA18F4" w:rsidP="007C6560">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 xml:space="preserve">II - proceder com </w:t>
            </w:r>
            <w:r w:rsidRPr="00C74298">
              <w:rPr>
                <w:rFonts w:ascii="Verdana" w:eastAsia="Times New Roman" w:hAnsi="Verdana" w:cs="Arial"/>
                <w:b/>
                <w:iCs/>
                <w:sz w:val="20"/>
                <w:szCs w:val="20"/>
                <w:lang w:val="pt-BR"/>
              </w:rPr>
              <w:t>lealdade, urbanidade e boa-fé</w:t>
            </w:r>
            <w:r w:rsidRPr="00C74298">
              <w:rPr>
                <w:rFonts w:ascii="Verdana" w:eastAsia="Times New Roman" w:hAnsi="Verdana" w:cs="Arial"/>
                <w:iCs/>
                <w:sz w:val="20"/>
                <w:szCs w:val="20"/>
                <w:lang w:val="pt-BR"/>
              </w:rPr>
              <w:t>;</w:t>
            </w:r>
          </w:p>
          <w:p w:rsidR="009F575A" w:rsidRPr="00C74298" w:rsidRDefault="009F575A" w:rsidP="007C6560">
            <w:pPr>
              <w:spacing w:after="0" w:line="240" w:lineRule="auto"/>
              <w:jc w:val="both"/>
              <w:rPr>
                <w:rFonts w:ascii="Verdana" w:eastAsia="Times New Roman" w:hAnsi="Verdana" w:cs="Arial"/>
                <w:iCs/>
                <w:sz w:val="20"/>
                <w:szCs w:val="20"/>
                <w:lang w:val="pt-BR"/>
              </w:rPr>
            </w:pPr>
          </w:p>
          <w:p w:rsidR="00FA18F4" w:rsidRDefault="009F50A9" w:rsidP="007C6560">
            <w:pPr>
              <w:spacing w:after="0" w:line="240" w:lineRule="auto"/>
              <w:jc w:val="both"/>
              <w:rPr>
                <w:rFonts w:ascii="Verdana" w:eastAsia="Times New Roman" w:hAnsi="Verdana" w:cs="Arial"/>
                <w:iCs/>
                <w:sz w:val="20"/>
                <w:szCs w:val="20"/>
                <w:lang w:val="pt-BR"/>
              </w:rPr>
            </w:pPr>
            <w:r w:rsidRPr="009F50A9">
              <w:rPr>
                <w:rFonts w:ascii="Verdana" w:eastAsia="Times New Roman" w:hAnsi="Verdana" w:cs="Arial"/>
                <w:iCs/>
                <w:sz w:val="20"/>
                <w:szCs w:val="20"/>
                <w:lang w:val="pt-BR"/>
              </w:rPr>
              <w:t xml:space="preserve">Código de </w:t>
            </w:r>
            <w:proofErr w:type="spellStart"/>
            <w:r w:rsidRPr="009F50A9">
              <w:rPr>
                <w:rFonts w:ascii="Verdana" w:eastAsia="Times New Roman" w:hAnsi="Verdana" w:cs="Arial"/>
                <w:iCs/>
                <w:sz w:val="20"/>
                <w:szCs w:val="20"/>
                <w:lang w:val="pt-BR"/>
              </w:rPr>
              <w:t>Proceso</w:t>
            </w:r>
            <w:proofErr w:type="spellEnd"/>
            <w:r w:rsidRPr="009F50A9">
              <w:rPr>
                <w:rFonts w:ascii="Verdana" w:eastAsia="Times New Roman" w:hAnsi="Verdana" w:cs="Arial"/>
                <w:iCs/>
                <w:sz w:val="20"/>
                <w:szCs w:val="20"/>
                <w:lang w:val="pt-BR"/>
              </w:rPr>
              <w:t xml:space="preserve"> Civil, </w:t>
            </w:r>
            <w:proofErr w:type="spellStart"/>
            <w:r>
              <w:rPr>
                <w:rFonts w:ascii="Verdana" w:eastAsia="Times New Roman" w:hAnsi="Verdana" w:cs="Arial"/>
                <w:iCs/>
                <w:sz w:val="20"/>
                <w:szCs w:val="20"/>
                <w:lang w:val="pt-BR"/>
              </w:rPr>
              <w:t>Ley</w:t>
            </w:r>
            <w:proofErr w:type="spellEnd"/>
            <w:r>
              <w:rPr>
                <w:rFonts w:ascii="Verdana" w:eastAsia="Times New Roman" w:hAnsi="Verdana" w:cs="Arial"/>
                <w:iCs/>
                <w:sz w:val="20"/>
                <w:szCs w:val="20"/>
                <w:lang w:val="pt-BR"/>
              </w:rPr>
              <w:t xml:space="preserve"> </w:t>
            </w:r>
            <w:r w:rsidRPr="009F50A9">
              <w:rPr>
                <w:rFonts w:ascii="Verdana" w:eastAsia="Times New Roman" w:hAnsi="Verdana" w:cs="Arial"/>
                <w:iCs/>
                <w:sz w:val="20"/>
                <w:szCs w:val="20"/>
                <w:lang w:val="pt-BR"/>
              </w:rPr>
              <w:t xml:space="preserve">nº </w:t>
            </w:r>
            <w:r w:rsidR="00FA18F4" w:rsidRPr="009F50A9">
              <w:rPr>
                <w:rFonts w:ascii="Verdana" w:eastAsia="Times New Roman" w:hAnsi="Verdana" w:cs="Arial"/>
                <w:iCs/>
                <w:sz w:val="20"/>
                <w:szCs w:val="20"/>
                <w:lang w:val="pt-BR"/>
              </w:rPr>
              <w:t>5</w:t>
            </w:r>
            <w:r w:rsidRPr="009F50A9">
              <w:rPr>
                <w:rFonts w:ascii="Verdana" w:eastAsia="Times New Roman" w:hAnsi="Verdana" w:cs="Arial"/>
                <w:iCs/>
                <w:sz w:val="20"/>
                <w:szCs w:val="20"/>
                <w:lang w:val="pt-BR"/>
              </w:rPr>
              <w:t>.869/73</w:t>
            </w:r>
            <w:r>
              <w:rPr>
                <w:rStyle w:val="Refdenotaderodap"/>
                <w:rFonts w:ascii="Verdana" w:eastAsia="Times New Roman" w:hAnsi="Verdana" w:cs="Arial"/>
                <w:iCs/>
                <w:sz w:val="20"/>
                <w:szCs w:val="20"/>
              </w:rPr>
              <w:footnoteReference w:id="4"/>
            </w:r>
            <w:r w:rsidRPr="009F50A9">
              <w:rPr>
                <w:rFonts w:ascii="Verdana" w:eastAsia="Times New Roman" w:hAnsi="Verdana" w:cs="Arial"/>
                <w:iCs/>
                <w:sz w:val="20"/>
                <w:szCs w:val="20"/>
                <w:lang w:val="pt-BR"/>
              </w:rPr>
              <w:t>:</w:t>
            </w:r>
          </w:p>
          <w:p w:rsidR="00BD1BCA" w:rsidRPr="009F50A9" w:rsidRDefault="00BD1BCA" w:rsidP="007C6560">
            <w:pPr>
              <w:spacing w:after="0" w:line="240" w:lineRule="auto"/>
              <w:jc w:val="both"/>
              <w:rPr>
                <w:rFonts w:ascii="Verdana" w:eastAsia="Times New Roman" w:hAnsi="Verdana" w:cs="Arial"/>
                <w:iCs/>
                <w:sz w:val="20"/>
                <w:szCs w:val="20"/>
                <w:lang w:val="pt-BR"/>
              </w:rPr>
            </w:pPr>
          </w:p>
          <w:p w:rsidR="009F50A9" w:rsidRPr="009F50A9" w:rsidRDefault="00FA18F4" w:rsidP="00FA18F4">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lastRenderedPageBreak/>
              <w:t xml:space="preserve">Art. 14. </w:t>
            </w:r>
            <w:r w:rsidRPr="009F50A9">
              <w:rPr>
                <w:rFonts w:ascii="Verdana" w:eastAsia="Times New Roman" w:hAnsi="Verdana" w:cs="Arial"/>
                <w:iCs/>
                <w:sz w:val="20"/>
                <w:szCs w:val="20"/>
                <w:lang w:val="pt-BR"/>
              </w:rPr>
              <w:t>São deveres das partes e de todos aqueles que de qualque</w:t>
            </w:r>
            <w:r w:rsidR="009F50A9" w:rsidRPr="009F50A9">
              <w:rPr>
                <w:rFonts w:ascii="Verdana" w:eastAsia="Times New Roman" w:hAnsi="Verdana" w:cs="Arial"/>
                <w:iCs/>
                <w:sz w:val="20"/>
                <w:szCs w:val="20"/>
                <w:lang w:val="pt-BR"/>
              </w:rPr>
              <w:t>r forma participam do processo:</w:t>
            </w:r>
          </w:p>
          <w:p w:rsidR="00FA18F4" w:rsidRPr="009F50A9" w:rsidRDefault="00ED094D" w:rsidP="00FA18F4">
            <w:pPr>
              <w:spacing w:after="0" w:line="240" w:lineRule="auto"/>
              <w:jc w:val="both"/>
              <w:rPr>
                <w:rFonts w:ascii="Verdana" w:eastAsia="Times New Roman" w:hAnsi="Verdana" w:cs="Arial"/>
                <w:iCs/>
                <w:sz w:val="20"/>
                <w:szCs w:val="20"/>
                <w:lang w:val="pt-BR"/>
              </w:rPr>
            </w:pPr>
            <w:r>
              <w:rPr>
                <w:rFonts w:ascii="Verdana" w:eastAsia="Times New Roman" w:hAnsi="Verdana" w:cs="Arial"/>
                <w:iCs/>
                <w:sz w:val="20"/>
                <w:szCs w:val="20"/>
                <w:lang w:val="pt-BR"/>
              </w:rPr>
              <w:t>[...]</w:t>
            </w:r>
          </w:p>
          <w:p w:rsidR="009F575A" w:rsidRPr="00C74298" w:rsidRDefault="00FA18F4" w:rsidP="00FA18F4">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 xml:space="preserve">II - proceder com </w:t>
            </w:r>
            <w:r w:rsidRPr="00C74298">
              <w:rPr>
                <w:rFonts w:ascii="Verdana" w:eastAsia="Times New Roman" w:hAnsi="Verdana" w:cs="Arial"/>
                <w:b/>
                <w:iCs/>
                <w:sz w:val="20"/>
                <w:szCs w:val="20"/>
                <w:lang w:val="pt-BR"/>
              </w:rPr>
              <w:t>lealdade e boa-fé</w:t>
            </w:r>
            <w:r w:rsidRPr="00C74298">
              <w:rPr>
                <w:rFonts w:ascii="Verdana" w:eastAsia="Times New Roman" w:hAnsi="Verdana" w:cs="Arial"/>
                <w:iCs/>
                <w:sz w:val="20"/>
                <w:szCs w:val="20"/>
                <w:lang w:val="pt-BR"/>
              </w:rPr>
              <w:t>;</w:t>
            </w:r>
          </w:p>
          <w:p w:rsidR="009F575A" w:rsidRPr="00C74298" w:rsidRDefault="009F575A" w:rsidP="007C6560">
            <w:pPr>
              <w:spacing w:after="0" w:line="240" w:lineRule="auto"/>
              <w:jc w:val="both"/>
              <w:rPr>
                <w:rFonts w:ascii="Verdana" w:eastAsia="Times New Roman" w:hAnsi="Verdana" w:cs="Arial"/>
                <w:iCs/>
                <w:sz w:val="20"/>
                <w:szCs w:val="20"/>
                <w:lang w:val="pt-BR"/>
              </w:rPr>
            </w:pPr>
          </w:p>
          <w:p w:rsidR="009F575A" w:rsidRPr="00C74298" w:rsidRDefault="009F50A9" w:rsidP="007C6560">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 xml:space="preserve">Código </w:t>
            </w:r>
            <w:proofErr w:type="gramStart"/>
            <w:r w:rsidRPr="00C74298">
              <w:rPr>
                <w:rFonts w:ascii="Verdana" w:eastAsia="Times New Roman" w:hAnsi="Verdana" w:cs="Arial"/>
                <w:iCs/>
                <w:sz w:val="20"/>
                <w:szCs w:val="20"/>
                <w:lang w:val="pt-BR"/>
              </w:rPr>
              <w:t>Civil ,</w:t>
            </w:r>
            <w:proofErr w:type="gramEnd"/>
            <w:r w:rsidRPr="00C74298">
              <w:rPr>
                <w:rFonts w:ascii="Verdana" w:eastAsia="Times New Roman" w:hAnsi="Verdana" w:cs="Arial"/>
                <w:iCs/>
                <w:sz w:val="20"/>
                <w:szCs w:val="20"/>
                <w:lang w:val="pt-BR"/>
              </w:rPr>
              <w:t xml:space="preserve"> </w:t>
            </w:r>
            <w:proofErr w:type="spellStart"/>
            <w:r w:rsidRPr="00C74298">
              <w:rPr>
                <w:rFonts w:ascii="Verdana" w:eastAsia="Times New Roman" w:hAnsi="Verdana" w:cs="Arial"/>
                <w:iCs/>
                <w:sz w:val="20"/>
                <w:szCs w:val="20"/>
                <w:lang w:val="pt-BR"/>
              </w:rPr>
              <w:t>Ley</w:t>
            </w:r>
            <w:proofErr w:type="spellEnd"/>
            <w:r w:rsidRPr="00C74298">
              <w:rPr>
                <w:rFonts w:ascii="Verdana" w:eastAsia="Times New Roman" w:hAnsi="Verdana" w:cs="Arial"/>
                <w:iCs/>
                <w:sz w:val="20"/>
                <w:szCs w:val="20"/>
                <w:lang w:val="pt-BR"/>
              </w:rPr>
              <w:t xml:space="preserve"> nº 10.406/02</w:t>
            </w:r>
            <w:r w:rsidR="00671EEB">
              <w:rPr>
                <w:rStyle w:val="Refdenotaderodap"/>
                <w:rFonts w:ascii="Verdana" w:eastAsia="Times New Roman" w:hAnsi="Verdana" w:cs="Arial"/>
                <w:iCs/>
                <w:sz w:val="20"/>
                <w:szCs w:val="20"/>
              </w:rPr>
              <w:footnoteReference w:id="5"/>
            </w:r>
            <w:r w:rsidRPr="00C74298">
              <w:rPr>
                <w:rFonts w:ascii="Verdana" w:eastAsia="Times New Roman" w:hAnsi="Verdana" w:cs="Arial"/>
                <w:iCs/>
                <w:sz w:val="20"/>
                <w:szCs w:val="20"/>
                <w:lang w:val="pt-BR"/>
              </w:rPr>
              <w:t>:</w:t>
            </w:r>
          </w:p>
          <w:p w:rsidR="00BD1BCA" w:rsidRPr="00C74298" w:rsidRDefault="00BD1BCA" w:rsidP="007C6560">
            <w:pPr>
              <w:spacing w:after="0" w:line="240" w:lineRule="auto"/>
              <w:jc w:val="both"/>
              <w:rPr>
                <w:rFonts w:ascii="Verdana" w:eastAsia="Times New Roman" w:hAnsi="Verdana" w:cs="Arial"/>
                <w:iCs/>
                <w:sz w:val="20"/>
                <w:szCs w:val="20"/>
                <w:lang w:val="pt-BR"/>
              </w:rPr>
            </w:pPr>
          </w:p>
          <w:p w:rsidR="00FA18F4" w:rsidRPr="00C74298" w:rsidRDefault="00FA18F4" w:rsidP="007C6560">
            <w:pPr>
              <w:spacing w:after="0" w:line="240" w:lineRule="auto"/>
              <w:jc w:val="both"/>
              <w:rPr>
                <w:rFonts w:ascii="Verdana" w:eastAsia="Times New Roman" w:hAnsi="Verdana" w:cs="Arial"/>
                <w:iCs/>
                <w:sz w:val="20"/>
                <w:szCs w:val="20"/>
                <w:lang w:val="pt-BR"/>
              </w:rPr>
            </w:pPr>
            <w:r w:rsidRPr="00C74298">
              <w:rPr>
                <w:rFonts w:ascii="Verdana" w:eastAsia="Times New Roman" w:hAnsi="Verdana" w:cs="Arial"/>
                <w:iCs/>
                <w:sz w:val="20"/>
                <w:szCs w:val="20"/>
                <w:lang w:val="pt-BR"/>
              </w:rPr>
              <w:t xml:space="preserve">Art. 187. Também </w:t>
            </w:r>
            <w:r w:rsidRPr="00C74298">
              <w:rPr>
                <w:rFonts w:ascii="Verdana" w:eastAsia="Times New Roman" w:hAnsi="Verdana" w:cs="Arial"/>
                <w:b/>
                <w:iCs/>
                <w:sz w:val="20"/>
                <w:szCs w:val="20"/>
                <w:lang w:val="pt-BR"/>
              </w:rPr>
              <w:t>comete ato ilícito</w:t>
            </w:r>
            <w:r w:rsidRPr="00C74298">
              <w:rPr>
                <w:rFonts w:ascii="Verdana" w:eastAsia="Times New Roman" w:hAnsi="Verdana" w:cs="Arial"/>
                <w:iCs/>
                <w:sz w:val="20"/>
                <w:szCs w:val="20"/>
                <w:lang w:val="pt-BR"/>
              </w:rPr>
              <w:t xml:space="preserve"> o titular de um direito que, ao exercê-lo, </w:t>
            </w:r>
            <w:r w:rsidRPr="00C74298">
              <w:rPr>
                <w:rFonts w:ascii="Verdana" w:eastAsia="Times New Roman" w:hAnsi="Verdana" w:cs="Arial"/>
                <w:b/>
                <w:iCs/>
                <w:sz w:val="20"/>
                <w:szCs w:val="20"/>
                <w:lang w:val="pt-BR"/>
              </w:rPr>
              <w:t>excede manifestamente os limites impostos pelo seu fim econômico ou social, pela boa-fé ou pelos bons costumes</w:t>
            </w:r>
            <w:r w:rsidRPr="00C74298">
              <w:rPr>
                <w:rFonts w:ascii="Verdana" w:eastAsia="Times New Roman" w:hAnsi="Verdana" w:cs="Arial"/>
                <w:iCs/>
                <w:sz w:val="20"/>
                <w:szCs w:val="20"/>
                <w:lang w:val="pt-BR"/>
              </w:rPr>
              <w:t>.</w:t>
            </w:r>
          </w:p>
          <w:p w:rsidR="00E9428E" w:rsidRDefault="00E9428E" w:rsidP="007C6560">
            <w:pPr>
              <w:spacing w:after="0" w:line="240" w:lineRule="auto"/>
              <w:jc w:val="both"/>
              <w:rPr>
                <w:rFonts w:ascii="Verdana" w:eastAsia="Times New Roman" w:hAnsi="Verdana" w:cs="Arial"/>
                <w:iCs/>
                <w:sz w:val="20"/>
                <w:szCs w:val="20"/>
                <w:lang w:val="pt-BR"/>
              </w:rPr>
            </w:pPr>
          </w:p>
          <w:p w:rsidR="00E9428E" w:rsidRDefault="007F25A3"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N</w:t>
            </w:r>
            <w:r w:rsidR="006935B0">
              <w:rPr>
                <w:rFonts w:ascii="Verdana" w:eastAsia="Times New Roman" w:hAnsi="Verdana" w:cs="Arial"/>
                <w:iCs/>
                <w:sz w:val="20"/>
                <w:szCs w:val="20"/>
              </w:rPr>
              <w:t>os parece</w:t>
            </w:r>
            <w:r>
              <w:rPr>
                <w:rFonts w:ascii="Verdana" w:eastAsia="Times New Roman" w:hAnsi="Verdana" w:cs="Arial"/>
                <w:iCs/>
                <w:sz w:val="20"/>
                <w:szCs w:val="20"/>
              </w:rPr>
              <w:t>, por lo tanto,</w:t>
            </w:r>
            <w:r w:rsidR="006935B0">
              <w:rPr>
                <w:rFonts w:ascii="Verdana" w:eastAsia="Times New Roman" w:hAnsi="Verdana" w:cs="Arial"/>
                <w:iCs/>
                <w:sz w:val="20"/>
                <w:szCs w:val="20"/>
              </w:rPr>
              <w:t xml:space="preserve"> que hay dos opciones cuando se está delante de un solicitante frecuente</w:t>
            </w:r>
            <w:r>
              <w:rPr>
                <w:rFonts w:ascii="Verdana" w:eastAsia="Times New Roman" w:hAnsi="Verdana" w:cs="Arial"/>
                <w:iCs/>
                <w:sz w:val="20"/>
                <w:szCs w:val="20"/>
              </w:rPr>
              <w:t>/abuso de derecho</w:t>
            </w:r>
            <w:r w:rsidR="006935B0">
              <w:rPr>
                <w:rFonts w:ascii="Verdana" w:eastAsia="Times New Roman" w:hAnsi="Verdana" w:cs="Arial"/>
                <w:iCs/>
                <w:sz w:val="20"/>
                <w:szCs w:val="20"/>
              </w:rPr>
              <w:t>:</w:t>
            </w:r>
          </w:p>
          <w:p w:rsidR="006935B0" w:rsidRDefault="006935B0" w:rsidP="007C6560">
            <w:pPr>
              <w:spacing w:after="0" w:line="240" w:lineRule="auto"/>
              <w:jc w:val="both"/>
              <w:rPr>
                <w:rFonts w:ascii="Verdana" w:eastAsia="Times New Roman" w:hAnsi="Verdana" w:cs="Arial"/>
                <w:iCs/>
                <w:sz w:val="20"/>
                <w:szCs w:val="20"/>
              </w:rPr>
            </w:pPr>
          </w:p>
          <w:p w:rsidR="006935B0" w:rsidRDefault="006935B0" w:rsidP="006935B0">
            <w:pPr>
              <w:pStyle w:val="PargrafodaLista"/>
              <w:numPr>
                <w:ilvl w:val="0"/>
                <w:numId w:val="7"/>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Busca de una solución por medio del </w:t>
            </w:r>
            <w:r w:rsidRPr="007F25A3">
              <w:rPr>
                <w:rFonts w:ascii="Verdana" w:eastAsia="Times New Roman" w:hAnsi="Verdana" w:cs="Arial"/>
                <w:b/>
                <w:iCs/>
                <w:sz w:val="20"/>
                <w:szCs w:val="20"/>
              </w:rPr>
              <w:t>diálogo</w:t>
            </w:r>
            <w:r>
              <w:rPr>
                <w:rFonts w:ascii="Verdana" w:eastAsia="Times New Roman" w:hAnsi="Verdana" w:cs="Arial"/>
                <w:iCs/>
                <w:sz w:val="20"/>
                <w:szCs w:val="20"/>
              </w:rPr>
              <w:t xml:space="preserve"> y la </w:t>
            </w:r>
            <w:r w:rsidRPr="007F25A3">
              <w:rPr>
                <w:rFonts w:ascii="Verdana" w:eastAsia="Times New Roman" w:hAnsi="Verdana" w:cs="Arial"/>
                <w:b/>
                <w:iCs/>
                <w:sz w:val="20"/>
                <w:szCs w:val="20"/>
              </w:rPr>
              <w:t>comunicación</w:t>
            </w:r>
            <w:r>
              <w:rPr>
                <w:rFonts w:ascii="Verdana" w:eastAsia="Times New Roman" w:hAnsi="Verdana" w:cs="Arial"/>
                <w:iCs/>
                <w:sz w:val="20"/>
                <w:szCs w:val="20"/>
              </w:rPr>
              <w:t xml:space="preserve"> interpersonal</w:t>
            </w:r>
            <w:r w:rsidR="008A39C0">
              <w:rPr>
                <w:rFonts w:ascii="Verdana" w:eastAsia="Times New Roman" w:hAnsi="Verdana" w:cs="Arial"/>
                <w:iCs/>
                <w:sz w:val="20"/>
                <w:szCs w:val="20"/>
              </w:rPr>
              <w:t>.</w:t>
            </w:r>
          </w:p>
          <w:p w:rsidR="00806B92" w:rsidRDefault="00806B92" w:rsidP="00806B92">
            <w:pPr>
              <w:pStyle w:val="PargrafodaLista"/>
              <w:spacing w:after="0" w:line="240" w:lineRule="auto"/>
              <w:jc w:val="both"/>
              <w:rPr>
                <w:rFonts w:ascii="Verdana" w:eastAsia="Times New Roman" w:hAnsi="Verdana" w:cs="Arial"/>
                <w:iCs/>
                <w:sz w:val="20"/>
                <w:szCs w:val="20"/>
              </w:rPr>
            </w:pPr>
          </w:p>
          <w:p w:rsidR="006935B0" w:rsidRDefault="006935B0" w:rsidP="006935B0">
            <w:pPr>
              <w:pStyle w:val="PargrafodaLista"/>
              <w:numPr>
                <w:ilvl w:val="0"/>
                <w:numId w:val="7"/>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Caracterización de la </w:t>
            </w:r>
            <w:r w:rsidRPr="007F25A3">
              <w:rPr>
                <w:rFonts w:ascii="Verdana" w:eastAsia="Times New Roman" w:hAnsi="Verdana" w:cs="Arial"/>
                <w:b/>
                <w:iCs/>
                <w:sz w:val="20"/>
                <w:szCs w:val="20"/>
              </w:rPr>
              <w:t>desproporcionalidad</w:t>
            </w:r>
            <w:r>
              <w:rPr>
                <w:rFonts w:ascii="Verdana" w:eastAsia="Times New Roman" w:hAnsi="Verdana" w:cs="Arial"/>
                <w:iCs/>
                <w:sz w:val="20"/>
                <w:szCs w:val="20"/>
              </w:rPr>
              <w:t xml:space="preserve"> de las solicitaciones, si la solución por medio del diálogo no fue posible.</w:t>
            </w:r>
          </w:p>
          <w:p w:rsidR="0065479E" w:rsidRDefault="0065479E" w:rsidP="006935B0">
            <w:pPr>
              <w:spacing w:after="0" w:line="240" w:lineRule="auto"/>
              <w:jc w:val="both"/>
              <w:rPr>
                <w:rFonts w:ascii="Verdana" w:eastAsia="Times New Roman" w:hAnsi="Verdana" w:cs="Arial"/>
                <w:iCs/>
                <w:sz w:val="20"/>
                <w:szCs w:val="20"/>
              </w:rPr>
            </w:pPr>
          </w:p>
          <w:p w:rsidR="0065479E" w:rsidRDefault="00806B92" w:rsidP="006935B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Continuando con la discusión de la desproporcionalidad, el desafío es definir cuando ella está presente. Los elementos que deben ser llevados en consideración, como muy bien expuesto por México en sus consideraciones, son la </w:t>
            </w:r>
            <w:r w:rsidRPr="00806B92">
              <w:rPr>
                <w:rFonts w:ascii="Verdana" w:eastAsia="Times New Roman" w:hAnsi="Verdana" w:cs="Arial"/>
                <w:b/>
                <w:iCs/>
                <w:sz w:val="20"/>
                <w:szCs w:val="20"/>
              </w:rPr>
              <w:t>cantidad</w:t>
            </w:r>
            <w:r>
              <w:rPr>
                <w:rFonts w:ascii="Verdana" w:eastAsia="Times New Roman" w:hAnsi="Verdana" w:cs="Arial"/>
                <w:iCs/>
                <w:sz w:val="20"/>
                <w:szCs w:val="20"/>
              </w:rPr>
              <w:t xml:space="preserve"> </w:t>
            </w:r>
            <w:r w:rsidR="000A5A32">
              <w:rPr>
                <w:rFonts w:ascii="Verdana" w:eastAsia="Times New Roman" w:hAnsi="Verdana" w:cs="Arial"/>
                <w:iCs/>
                <w:sz w:val="20"/>
                <w:szCs w:val="20"/>
              </w:rPr>
              <w:t>e</w:t>
            </w:r>
            <w:r>
              <w:rPr>
                <w:rFonts w:ascii="Verdana" w:eastAsia="Times New Roman" w:hAnsi="Verdana" w:cs="Arial"/>
                <w:iCs/>
                <w:sz w:val="20"/>
                <w:szCs w:val="20"/>
              </w:rPr>
              <w:t xml:space="preserve"> </w:t>
            </w:r>
            <w:r w:rsidRPr="00806B92">
              <w:rPr>
                <w:rFonts w:ascii="Verdana" w:eastAsia="Times New Roman" w:hAnsi="Verdana" w:cs="Arial"/>
                <w:b/>
                <w:iCs/>
                <w:sz w:val="20"/>
                <w:szCs w:val="20"/>
              </w:rPr>
              <w:t>intensidad</w:t>
            </w:r>
            <w:r>
              <w:rPr>
                <w:rFonts w:ascii="Verdana" w:eastAsia="Times New Roman" w:hAnsi="Verdana" w:cs="Arial"/>
                <w:iCs/>
                <w:sz w:val="20"/>
                <w:szCs w:val="20"/>
              </w:rPr>
              <w:t xml:space="preserve"> de las solicitudes. </w:t>
            </w:r>
            <w:r w:rsidR="003F6E4A">
              <w:rPr>
                <w:rFonts w:ascii="Verdana" w:eastAsia="Times New Roman" w:hAnsi="Verdana" w:cs="Arial"/>
                <w:iCs/>
                <w:sz w:val="20"/>
                <w:szCs w:val="20"/>
              </w:rPr>
              <w:t xml:space="preserve">Es decir, la cantidad es si un factor importante, pero debe ser también considerado el período en que fueran presentadas las solicitudes. </w:t>
            </w:r>
            <w:r w:rsidR="00E43C3C">
              <w:rPr>
                <w:rFonts w:ascii="Verdana" w:eastAsia="Times New Roman" w:hAnsi="Verdana" w:cs="Arial"/>
                <w:iCs/>
                <w:sz w:val="20"/>
                <w:szCs w:val="20"/>
              </w:rPr>
              <w:t xml:space="preserve">100 solicitaciones </w:t>
            </w:r>
            <w:r w:rsidR="006C1D9E">
              <w:rPr>
                <w:rFonts w:ascii="Verdana" w:eastAsia="Times New Roman" w:hAnsi="Verdana" w:cs="Arial"/>
                <w:iCs/>
                <w:sz w:val="20"/>
                <w:szCs w:val="20"/>
              </w:rPr>
              <w:t>en 01 año tienen un impacto distinto de 100 solicitaciones en 01 mes.</w:t>
            </w:r>
            <w:r w:rsidR="00E060F6">
              <w:rPr>
                <w:rFonts w:ascii="Verdana" w:eastAsia="Times New Roman" w:hAnsi="Verdana" w:cs="Arial"/>
                <w:iCs/>
                <w:sz w:val="20"/>
                <w:szCs w:val="20"/>
              </w:rPr>
              <w:t xml:space="preserve"> Para facilitar la evaluación de la proporcionalidad, la CGU suele solicitar a los órganos/entidades recorridos algunas informaciones que permitan tornar más claro el impacto, tales como:</w:t>
            </w:r>
          </w:p>
          <w:p w:rsidR="00E060F6" w:rsidRDefault="00E060F6" w:rsidP="006935B0">
            <w:pPr>
              <w:spacing w:after="0" w:line="240" w:lineRule="auto"/>
              <w:jc w:val="both"/>
              <w:rPr>
                <w:rFonts w:ascii="Verdana" w:eastAsia="Times New Roman" w:hAnsi="Verdana" w:cs="Arial"/>
                <w:iCs/>
                <w:sz w:val="20"/>
                <w:szCs w:val="20"/>
              </w:rPr>
            </w:pPr>
          </w:p>
          <w:p w:rsidR="00E060F6" w:rsidRDefault="00E060F6"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Cantidad de documentos objeto de los pedidos;</w:t>
            </w:r>
          </w:p>
          <w:p w:rsidR="00E060F6" w:rsidRDefault="00E060F6"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Cantidad de hojas que deben ser copiadas;</w:t>
            </w:r>
          </w:p>
          <w:p w:rsidR="00E060F6" w:rsidRDefault="00E060F6"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Indicación de la cantidad (estimativa) de horas de servicio y empleados necesarios para atender al pedido, considerándose  </w:t>
            </w:r>
            <w:r w:rsidR="00940575">
              <w:rPr>
                <w:rFonts w:ascii="Verdana" w:eastAsia="Times New Roman" w:hAnsi="Verdana" w:cs="Arial"/>
                <w:iCs/>
                <w:sz w:val="20"/>
                <w:szCs w:val="20"/>
              </w:rPr>
              <w:t>que en algunas situaciones es necesario leer cada documento y ocultar informaciones protegidas o con restricciones de acceso;</w:t>
            </w:r>
          </w:p>
          <w:p w:rsidR="00940575" w:rsidRDefault="00940575"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Cantidad de empleados disponibles en el sector para tratar de cuestiones de acceso a la información;</w:t>
            </w:r>
          </w:p>
          <w:p w:rsidR="00940575" w:rsidRDefault="00940575"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Indicación de viabilidad o no de que se solicite apoyo a otro sector de la entidad para que se pueda responder a las solicitudes;</w:t>
            </w:r>
          </w:p>
          <w:p w:rsidR="00940575" w:rsidRDefault="00940575" w:rsidP="00E060F6">
            <w:pPr>
              <w:pStyle w:val="PargrafodaLista"/>
              <w:numPr>
                <w:ilvl w:val="0"/>
                <w:numId w:val="8"/>
              </w:num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Evaluación, por parte del órgano/entidad, de que las actividades del sector serán s</w:t>
            </w:r>
            <w:r w:rsidR="00824842">
              <w:rPr>
                <w:rFonts w:ascii="Verdana" w:eastAsia="Times New Roman" w:hAnsi="Verdana" w:cs="Arial"/>
                <w:iCs/>
                <w:sz w:val="20"/>
                <w:szCs w:val="20"/>
              </w:rPr>
              <w:t>ignificativamente comprometidas.</w:t>
            </w:r>
          </w:p>
          <w:p w:rsidR="00824842" w:rsidRDefault="00824842" w:rsidP="00824842">
            <w:pPr>
              <w:spacing w:after="0" w:line="240" w:lineRule="auto"/>
              <w:jc w:val="both"/>
              <w:rPr>
                <w:rFonts w:ascii="Verdana" w:eastAsia="Times New Roman" w:hAnsi="Verdana" w:cs="Arial"/>
                <w:iCs/>
                <w:sz w:val="20"/>
                <w:szCs w:val="20"/>
              </w:rPr>
            </w:pPr>
          </w:p>
          <w:p w:rsidR="00824842" w:rsidRPr="00824842" w:rsidRDefault="00824842" w:rsidP="00824842">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lastRenderedPageBreak/>
              <w:t>Se puede observar que mismo de esta manera, continua a existir un aspecto de subjetividad</w:t>
            </w:r>
            <w:r w:rsidR="002826E4">
              <w:rPr>
                <w:rFonts w:ascii="Verdana" w:eastAsia="Times New Roman" w:hAnsi="Verdana" w:cs="Arial"/>
                <w:iCs/>
                <w:sz w:val="20"/>
                <w:szCs w:val="20"/>
              </w:rPr>
              <w:t xml:space="preserve"> en la decisión. Por ejemplo: si una persona hace 50 solicitudes de información en un mes para obtener acceso a 50 procesos distintos, está caracterizada la desproporcionalidad</w:t>
            </w:r>
            <w:proofErr w:type="gramStart"/>
            <w:r w:rsidR="002826E4">
              <w:rPr>
                <w:rFonts w:ascii="Verdana" w:eastAsia="Times New Roman" w:hAnsi="Verdana" w:cs="Arial"/>
                <w:iCs/>
                <w:sz w:val="20"/>
                <w:szCs w:val="20"/>
              </w:rPr>
              <w:t>?</w:t>
            </w:r>
            <w:proofErr w:type="gramEnd"/>
            <w:r w:rsidR="002826E4">
              <w:rPr>
                <w:rFonts w:ascii="Verdana" w:eastAsia="Times New Roman" w:hAnsi="Verdana" w:cs="Arial"/>
                <w:iCs/>
                <w:sz w:val="20"/>
                <w:szCs w:val="20"/>
              </w:rPr>
              <w:t xml:space="preserve"> A depender de la institución, puede ser necesario leer cada uno de los proceso para que se oculten informaciones personales, por ejemplo. Si los procesos tienen 10 hojas cada, no nos parece que sea desproporcional. Mas y si ellos tienen 50? 100? 1000? Cual es punto exacto donde se co</w:t>
            </w:r>
            <w:r w:rsidR="004D6E4A">
              <w:rPr>
                <w:rFonts w:ascii="Verdana" w:eastAsia="Times New Roman" w:hAnsi="Verdana" w:cs="Arial"/>
                <w:iCs/>
                <w:sz w:val="20"/>
                <w:szCs w:val="20"/>
              </w:rPr>
              <w:t xml:space="preserve">nsidera la desproporcionalidad </w:t>
            </w:r>
            <w:r w:rsidR="002826E4">
              <w:rPr>
                <w:rFonts w:ascii="Verdana" w:eastAsia="Times New Roman" w:hAnsi="Verdana" w:cs="Arial"/>
                <w:iCs/>
                <w:sz w:val="20"/>
                <w:szCs w:val="20"/>
              </w:rPr>
              <w:t>o, en otras palabras,</w:t>
            </w:r>
            <w:r w:rsidR="004D6E4A">
              <w:rPr>
                <w:rFonts w:ascii="Verdana" w:eastAsia="Times New Roman" w:hAnsi="Verdana" w:cs="Arial"/>
                <w:iCs/>
                <w:sz w:val="20"/>
                <w:szCs w:val="20"/>
              </w:rPr>
              <w:t xml:space="preserve"> un abuso del derecho</w:t>
            </w:r>
            <w:proofErr w:type="gramStart"/>
            <w:r w:rsidR="00A424A1">
              <w:rPr>
                <w:rFonts w:ascii="Verdana" w:eastAsia="Times New Roman" w:hAnsi="Verdana" w:cs="Arial"/>
                <w:iCs/>
                <w:sz w:val="20"/>
                <w:szCs w:val="20"/>
              </w:rPr>
              <w:t>?</w:t>
            </w:r>
            <w:proofErr w:type="gramEnd"/>
          </w:p>
          <w:p w:rsidR="001D2AD1" w:rsidRPr="006935B0" w:rsidRDefault="001D2AD1" w:rsidP="006935B0">
            <w:pPr>
              <w:spacing w:after="0" w:line="240" w:lineRule="auto"/>
              <w:jc w:val="both"/>
              <w:rPr>
                <w:rFonts w:ascii="Verdana" w:eastAsia="Times New Roman" w:hAnsi="Verdana" w:cs="Arial"/>
                <w:iCs/>
                <w:sz w:val="20"/>
                <w:szCs w:val="20"/>
              </w:rPr>
            </w:pPr>
          </w:p>
          <w:p w:rsidR="009F575A" w:rsidRDefault="00356706"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La verdad es que la mayoría de los órganos/entidades públicos tiene</w:t>
            </w:r>
            <w:r w:rsidR="004D6E4A">
              <w:rPr>
                <w:rFonts w:ascii="Verdana" w:eastAsia="Times New Roman" w:hAnsi="Verdana" w:cs="Arial"/>
                <w:iCs/>
                <w:sz w:val="20"/>
                <w:szCs w:val="20"/>
              </w:rPr>
              <w:t xml:space="preserve">n un ciudadano </w:t>
            </w:r>
            <w:r>
              <w:rPr>
                <w:rFonts w:ascii="Verdana" w:eastAsia="Times New Roman" w:hAnsi="Verdana" w:cs="Arial"/>
                <w:iCs/>
                <w:sz w:val="20"/>
                <w:szCs w:val="20"/>
              </w:rPr>
              <w:t>responsable por un gran número de solicitudes. Hay registros de instituciones q</w:t>
            </w:r>
            <w:r w:rsidR="0027105F">
              <w:rPr>
                <w:rFonts w:ascii="Verdana" w:eastAsia="Times New Roman" w:hAnsi="Verdana" w:cs="Arial"/>
                <w:iCs/>
                <w:sz w:val="20"/>
                <w:szCs w:val="20"/>
              </w:rPr>
              <w:t>ue relatan que aproximadamente 3</w:t>
            </w:r>
            <w:r>
              <w:rPr>
                <w:rFonts w:ascii="Verdana" w:eastAsia="Times New Roman" w:hAnsi="Verdana" w:cs="Arial"/>
                <w:iCs/>
                <w:sz w:val="20"/>
                <w:szCs w:val="20"/>
              </w:rPr>
              <w:t xml:space="preserve">0% de las solicitaciones de acceso a información respondidas en un año son de 1 sola persona. </w:t>
            </w:r>
          </w:p>
          <w:p w:rsidR="00D53E67" w:rsidRDefault="00D53E67" w:rsidP="007C6560">
            <w:pPr>
              <w:spacing w:after="0" w:line="240" w:lineRule="auto"/>
              <w:jc w:val="both"/>
              <w:rPr>
                <w:rFonts w:ascii="Verdana" w:eastAsia="Times New Roman" w:hAnsi="Verdana" w:cs="Arial"/>
                <w:iCs/>
                <w:sz w:val="20"/>
                <w:szCs w:val="20"/>
              </w:rPr>
            </w:pPr>
          </w:p>
          <w:p w:rsidR="00D53E67" w:rsidRPr="006935B0" w:rsidRDefault="00D53E67"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Está en desarrollo en Brasil una herramienta que posibilita la comunicación entre dos grandes sistemas de comunicación ciudadano-Estado, el e-SIC y el e-OUV. El e-SIC </w:t>
            </w:r>
            <w:r>
              <w:rPr>
                <w:rStyle w:val="Refdenotaderodap"/>
                <w:rFonts w:ascii="Verdana" w:eastAsia="Times New Roman" w:hAnsi="Verdana" w:cs="Arial"/>
                <w:iCs/>
                <w:sz w:val="20"/>
                <w:szCs w:val="20"/>
              </w:rPr>
              <w:footnoteReference w:id="6"/>
            </w:r>
            <w:r>
              <w:rPr>
                <w:rFonts w:ascii="Verdana" w:eastAsia="Times New Roman" w:hAnsi="Verdana" w:cs="Arial"/>
                <w:iCs/>
                <w:sz w:val="20"/>
                <w:szCs w:val="20"/>
              </w:rPr>
              <w:t xml:space="preserve">es el sistema electrónico por donde se hacen las solicitudes de información, mientras en el e-OUV </w:t>
            </w:r>
            <w:r w:rsidR="00E55A41">
              <w:rPr>
                <w:rStyle w:val="Refdenotaderodap"/>
                <w:rFonts w:ascii="Verdana" w:eastAsia="Times New Roman" w:hAnsi="Verdana" w:cs="Arial"/>
                <w:iCs/>
                <w:sz w:val="20"/>
                <w:szCs w:val="20"/>
              </w:rPr>
              <w:footnoteReference w:id="7"/>
            </w:r>
            <w:r>
              <w:rPr>
                <w:rFonts w:ascii="Verdana" w:eastAsia="Times New Roman" w:hAnsi="Verdana" w:cs="Arial"/>
                <w:iCs/>
                <w:sz w:val="20"/>
                <w:szCs w:val="20"/>
              </w:rPr>
              <w:t>se hacen otros tipos de manifestaciones de ombudsman, tales como sugerencias, quejas, solicitudes de providencias. Grande parte de los solicitantes frecuentes no tienen claro las distinciones entre una solicitud de acceso a la información y los otros tipos de manifestaciones, y resultan en una desnecesaria movilización del sistema de acceso a información, que termina por no conocer los pedidos de acceso por no solicitaren ninguna información. La herramienta que está en desarrollo posibilitará</w:t>
            </w:r>
            <w:r w:rsidR="00EE48A3">
              <w:rPr>
                <w:rFonts w:ascii="Verdana" w:eastAsia="Times New Roman" w:hAnsi="Verdana" w:cs="Arial"/>
                <w:iCs/>
                <w:sz w:val="20"/>
                <w:szCs w:val="20"/>
              </w:rPr>
              <w:t xml:space="preserve"> que </w:t>
            </w:r>
            <w:r w:rsidR="00C905A6">
              <w:rPr>
                <w:rFonts w:ascii="Verdana" w:eastAsia="Times New Roman" w:hAnsi="Verdana" w:cs="Arial"/>
                <w:iCs/>
                <w:sz w:val="20"/>
                <w:szCs w:val="20"/>
              </w:rPr>
              <w:t xml:space="preserve">tipo de manifestación sea convertido en otro. </w:t>
            </w:r>
            <w:r w:rsidR="004D6E4A">
              <w:rPr>
                <w:rFonts w:ascii="Verdana" w:eastAsia="Times New Roman" w:hAnsi="Verdana" w:cs="Arial"/>
                <w:iCs/>
                <w:sz w:val="20"/>
                <w:szCs w:val="20"/>
              </w:rPr>
              <w:t>Esa herramienta, aún que sea muy interesante, no soluciona el problema de ciudadanos que efectivamente hacen pedidos de acceso a la información, en gran cantidad.</w:t>
            </w:r>
          </w:p>
          <w:p w:rsidR="00F62B7A" w:rsidRPr="006935B0" w:rsidRDefault="00F62B7A" w:rsidP="007C6560">
            <w:pPr>
              <w:spacing w:after="0" w:line="240" w:lineRule="auto"/>
              <w:jc w:val="both"/>
              <w:rPr>
                <w:rFonts w:ascii="Verdana" w:eastAsia="Times New Roman" w:hAnsi="Verdana" w:cs="Arial"/>
                <w:iCs/>
                <w:sz w:val="20"/>
                <w:szCs w:val="20"/>
              </w:rPr>
            </w:pPr>
          </w:p>
          <w:p w:rsidR="009F575A" w:rsidRPr="006935B0" w:rsidRDefault="00855779"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El abuso de derecho pone en riesgo los derechos de otras personas. En el caso del derecho de acceso a la información, un gran número de solicitaciones de una sola persona puede representar un obstáculo para que las solicitaciones de otras personas sean atendidas. Pero no solo eso. Hay que se observar también el interés público general. Una ponderación que se puede hacer es si es razonable dedicar una gran cuantidad de recursos públicos para que una sola persona sea atendida por determinada institución pública.</w:t>
            </w:r>
            <w:r w:rsidR="008C79DE">
              <w:rPr>
                <w:rFonts w:ascii="Verdana" w:eastAsia="Times New Roman" w:hAnsi="Verdana" w:cs="Arial"/>
                <w:iCs/>
                <w:sz w:val="20"/>
                <w:szCs w:val="20"/>
              </w:rPr>
              <w:t xml:space="preserve"> </w:t>
            </w:r>
          </w:p>
          <w:p w:rsidR="009F575A" w:rsidRDefault="009F575A" w:rsidP="007C6560">
            <w:pPr>
              <w:spacing w:after="0" w:line="240" w:lineRule="auto"/>
              <w:jc w:val="both"/>
              <w:rPr>
                <w:rFonts w:ascii="Verdana" w:eastAsia="Times New Roman" w:hAnsi="Verdana" w:cs="Arial"/>
                <w:iCs/>
                <w:sz w:val="20"/>
                <w:szCs w:val="20"/>
              </w:rPr>
            </w:pPr>
          </w:p>
          <w:p w:rsidR="002436A6" w:rsidRDefault="00672BF0" w:rsidP="007C6560">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La declaración de la desproporcionalidad de las solicitaciones debe </w:t>
            </w:r>
            <w:r w:rsidR="00743279">
              <w:rPr>
                <w:rFonts w:ascii="Verdana" w:eastAsia="Times New Roman" w:hAnsi="Verdana" w:cs="Arial"/>
                <w:iCs/>
                <w:sz w:val="20"/>
                <w:szCs w:val="20"/>
              </w:rPr>
              <w:t xml:space="preserve">ser confirmada por una autoridad externa al flujo de determinado órgano/entidad, como na CGU o la CMRI – Comisión Mista de Reevaluación de Informaciones de Brasil, porque, de esa manera, se evitarán desvíos de entendimientos, una vez que esas autoridades externas serán capaces de comparar la desproporcionalidad en distintas situaciones y evaluar donde se </w:t>
            </w:r>
            <w:r w:rsidR="00743279">
              <w:rPr>
                <w:rFonts w:ascii="Verdana" w:eastAsia="Times New Roman" w:hAnsi="Verdana" w:cs="Arial"/>
                <w:iCs/>
                <w:sz w:val="20"/>
                <w:szCs w:val="20"/>
              </w:rPr>
              <w:lastRenderedPageBreak/>
              <w:t xml:space="preserve">aplica efectivamente. </w:t>
            </w:r>
            <w:r w:rsidR="00C3082D">
              <w:rPr>
                <w:rFonts w:ascii="Verdana" w:eastAsia="Times New Roman" w:hAnsi="Verdana" w:cs="Arial"/>
                <w:iCs/>
                <w:sz w:val="20"/>
                <w:szCs w:val="20"/>
              </w:rPr>
              <w:t>Importante rememorar que el abuso de derecho debe siempre ser considerado en un caso específico, razón por la cual es importante mantener contacto con el órgano/entidad solicitado, que deberá demonstrar el impacto de las solicitaciones.</w:t>
            </w:r>
          </w:p>
          <w:p w:rsidR="00696525" w:rsidRPr="006935B0" w:rsidRDefault="008306C5" w:rsidP="007C6560">
            <w:pPr>
              <w:spacing w:after="0" w:line="240" w:lineRule="auto"/>
              <w:jc w:val="both"/>
              <w:rPr>
                <w:rFonts w:ascii="Verdana" w:eastAsia="Times New Roman" w:hAnsi="Verdana" w:cs="Arial"/>
                <w:iCs/>
                <w:sz w:val="20"/>
                <w:szCs w:val="20"/>
              </w:rPr>
            </w:pPr>
            <w:r w:rsidRPr="006935B0">
              <w:rPr>
                <w:rFonts w:ascii="Verdana" w:eastAsia="Times New Roman" w:hAnsi="Verdana" w:cs="Arial"/>
                <w:iCs/>
                <w:sz w:val="20"/>
                <w:szCs w:val="20"/>
              </w:rPr>
              <w:t xml:space="preserve"> </w:t>
            </w:r>
          </w:p>
        </w:tc>
      </w:tr>
      <w:tr w:rsidR="00522F6E" w:rsidRPr="00AC7955" w:rsidTr="009F575A">
        <w:tc>
          <w:tcPr>
            <w:tcW w:w="1970" w:type="dxa"/>
            <w:shd w:val="clear" w:color="auto" w:fill="auto"/>
          </w:tcPr>
          <w:p w:rsidR="0033112F" w:rsidRPr="00AC7955" w:rsidRDefault="0033112F"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lastRenderedPageBreak/>
              <w:t xml:space="preserve">Áreas de oportunidad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w:t>
            </w:r>
            <w:r w:rsidR="0033112F" w:rsidRPr="00AC7955">
              <w:rPr>
                <w:rFonts w:ascii="Verdana" w:eastAsia="Calibri" w:hAnsi="Verdana" w:cs="Times New Roman"/>
                <w:sz w:val="18"/>
                <w:szCs w:val="18"/>
                <w:lang w:val="es-MX"/>
              </w:rPr>
              <w:t>¿Qué</w:t>
            </w:r>
            <w:r w:rsidRPr="00AC7955">
              <w:rPr>
                <w:rFonts w:ascii="Verdana" w:eastAsia="Calibri" w:hAnsi="Verdana" w:cs="Times New Roman"/>
                <w:sz w:val="18"/>
                <w:szCs w:val="18"/>
                <w:lang w:val="es-MX"/>
              </w:rPr>
              <w:t xml:space="preserve"> hace falta para mejorar el derecho de acceso en el tema a discusión</w:t>
            </w:r>
            <w:r w:rsidR="0033112F" w:rsidRPr="00AC7955">
              <w:rPr>
                <w:rFonts w:ascii="Verdana" w:eastAsia="Calibri" w:hAnsi="Verdana" w:cs="Times New Roman"/>
                <w:sz w:val="18"/>
                <w:szCs w:val="18"/>
                <w:lang w:val="es-MX"/>
              </w:rPr>
              <w:t>? – Nuevos Retos)</w:t>
            </w:r>
          </w:p>
        </w:tc>
        <w:tc>
          <w:tcPr>
            <w:tcW w:w="7008" w:type="dxa"/>
            <w:shd w:val="clear" w:color="auto" w:fill="auto"/>
          </w:tcPr>
          <w:p w:rsidR="002436A6" w:rsidRDefault="002436A6" w:rsidP="007C6560">
            <w:pPr>
              <w:spacing w:after="0" w:line="240" w:lineRule="auto"/>
              <w:jc w:val="both"/>
              <w:rPr>
                <w:rFonts w:ascii="Verdana" w:eastAsia="Times New Roman" w:hAnsi="Verdana" w:cs="Arial"/>
                <w:iCs/>
                <w:sz w:val="20"/>
              </w:rPr>
            </w:pPr>
          </w:p>
          <w:p w:rsidR="007C2827" w:rsidRDefault="00F8725E" w:rsidP="007C6560">
            <w:pPr>
              <w:spacing w:after="0" w:line="240" w:lineRule="auto"/>
              <w:jc w:val="both"/>
              <w:rPr>
                <w:rFonts w:ascii="Verdana" w:eastAsia="Times New Roman" w:hAnsi="Verdana" w:cs="Arial"/>
                <w:iCs/>
                <w:sz w:val="20"/>
              </w:rPr>
            </w:pPr>
            <w:r>
              <w:rPr>
                <w:rFonts w:ascii="Verdana" w:eastAsia="Times New Roman" w:hAnsi="Verdana" w:cs="Arial"/>
                <w:iCs/>
                <w:sz w:val="20"/>
              </w:rPr>
              <w:t xml:space="preserve">Inicialmente, es más inteligente utilizarse de </w:t>
            </w:r>
            <w:r w:rsidR="00B51D9B">
              <w:rPr>
                <w:rFonts w:ascii="Verdana" w:eastAsia="Times New Roman" w:hAnsi="Verdana" w:cs="Arial"/>
                <w:iCs/>
                <w:sz w:val="20"/>
              </w:rPr>
              <w:t>herramientas</w:t>
            </w:r>
            <w:r>
              <w:rPr>
                <w:rFonts w:ascii="Verdana" w:eastAsia="Times New Roman" w:hAnsi="Verdana" w:cs="Arial"/>
                <w:iCs/>
                <w:sz w:val="20"/>
              </w:rPr>
              <w:t xml:space="preserve"> de comunicación interpersonal para buscar facilitar el diálogo entre el ciudadano y el Estado, orientándose ambas las partes.</w:t>
            </w:r>
          </w:p>
          <w:p w:rsidR="00D91AAF" w:rsidRDefault="00D91AAF" w:rsidP="007C6560">
            <w:pPr>
              <w:spacing w:after="0" w:line="240" w:lineRule="auto"/>
              <w:jc w:val="both"/>
              <w:rPr>
                <w:rFonts w:ascii="Verdana" w:eastAsia="Times New Roman" w:hAnsi="Verdana" w:cs="Arial"/>
                <w:iCs/>
                <w:sz w:val="20"/>
              </w:rPr>
            </w:pPr>
          </w:p>
          <w:p w:rsidR="00F8725E" w:rsidRDefault="00F8725E" w:rsidP="007C6560">
            <w:pPr>
              <w:spacing w:after="0" w:line="240" w:lineRule="auto"/>
              <w:jc w:val="both"/>
              <w:rPr>
                <w:rFonts w:ascii="Verdana" w:eastAsia="Times New Roman" w:hAnsi="Verdana" w:cs="Arial"/>
                <w:iCs/>
                <w:sz w:val="20"/>
              </w:rPr>
            </w:pPr>
            <w:r>
              <w:rPr>
                <w:rFonts w:ascii="Verdana" w:eastAsia="Times New Roman" w:hAnsi="Verdana" w:cs="Arial"/>
                <w:iCs/>
                <w:sz w:val="20"/>
              </w:rPr>
              <w:t>Establecer criterios más claros para caracterizar la desproporcionalidad de las solicitaciones.</w:t>
            </w:r>
          </w:p>
          <w:p w:rsidR="00855779" w:rsidRDefault="00855779" w:rsidP="007C6560">
            <w:pPr>
              <w:spacing w:after="0" w:line="240" w:lineRule="auto"/>
              <w:jc w:val="both"/>
              <w:rPr>
                <w:rFonts w:ascii="Verdana" w:eastAsia="Times New Roman" w:hAnsi="Verdana" w:cs="Arial"/>
                <w:iCs/>
                <w:sz w:val="20"/>
              </w:rPr>
            </w:pPr>
          </w:p>
          <w:p w:rsidR="00855779" w:rsidRDefault="00855779" w:rsidP="007C6560">
            <w:pPr>
              <w:spacing w:after="0" w:line="240" w:lineRule="auto"/>
              <w:jc w:val="both"/>
              <w:rPr>
                <w:rFonts w:ascii="Verdana" w:eastAsia="Times New Roman" w:hAnsi="Verdana" w:cs="Arial"/>
                <w:iCs/>
                <w:sz w:val="20"/>
              </w:rPr>
            </w:pPr>
            <w:r>
              <w:rPr>
                <w:rFonts w:ascii="Verdana" w:eastAsia="Times New Roman" w:hAnsi="Verdana" w:cs="Arial"/>
                <w:iCs/>
                <w:sz w:val="20"/>
              </w:rPr>
              <w:t xml:space="preserve">Analizar, </w:t>
            </w:r>
          </w:p>
          <w:p w:rsidR="00F8725E" w:rsidRDefault="00F8725E" w:rsidP="007C6560">
            <w:pPr>
              <w:spacing w:after="0" w:line="240" w:lineRule="auto"/>
              <w:jc w:val="both"/>
              <w:rPr>
                <w:rFonts w:ascii="Verdana" w:eastAsia="Times New Roman" w:hAnsi="Verdana" w:cs="Arial"/>
                <w:iCs/>
                <w:sz w:val="20"/>
              </w:rPr>
            </w:pPr>
          </w:p>
          <w:p w:rsidR="00C56A54" w:rsidRDefault="009A26AC" w:rsidP="007C6560">
            <w:pPr>
              <w:spacing w:after="0" w:line="240" w:lineRule="auto"/>
              <w:jc w:val="both"/>
              <w:rPr>
                <w:rFonts w:ascii="Verdana" w:eastAsia="Times New Roman" w:hAnsi="Verdana" w:cs="Arial"/>
                <w:iCs/>
                <w:sz w:val="20"/>
              </w:rPr>
            </w:pPr>
            <w:r>
              <w:rPr>
                <w:rFonts w:ascii="Verdana" w:eastAsia="Times New Roman" w:hAnsi="Verdana" w:cs="Arial"/>
                <w:iCs/>
                <w:sz w:val="20"/>
              </w:rPr>
              <w:t>Atentarse para el riesgo</w:t>
            </w:r>
            <w:r w:rsidR="00D91AAF">
              <w:rPr>
                <w:rFonts w:ascii="Verdana" w:eastAsia="Times New Roman" w:hAnsi="Verdana" w:cs="Arial"/>
                <w:iCs/>
                <w:sz w:val="20"/>
              </w:rPr>
              <w:t xml:space="preserve"> de crear jurisprudencia que estimule los órganos/entidades a negar acceso con base en la desproporcionalidad.</w:t>
            </w:r>
          </w:p>
          <w:p w:rsidR="002436A6" w:rsidRPr="00080FED" w:rsidRDefault="002436A6" w:rsidP="007C6560">
            <w:pPr>
              <w:spacing w:after="0" w:line="240" w:lineRule="auto"/>
              <w:jc w:val="both"/>
              <w:rPr>
                <w:rFonts w:ascii="Verdana" w:eastAsia="Times New Roman" w:hAnsi="Verdana" w:cs="Arial"/>
                <w:iCs/>
                <w:sz w:val="20"/>
              </w:rPr>
            </w:pPr>
          </w:p>
        </w:tc>
      </w:tr>
      <w:tr w:rsidR="00522F6E" w:rsidRPr="00AC7955" w:rsidTr="009F575A">
        <w:tc>
          <w:tcPr>
            <w:tcW w:w="1970"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Precedentes o criterios</w:t>
            </w:r>
          </w:p>
          <w:p w:rsidR="00882082" w:rsidRPr="00AC7955" w:rsidRDefault="00882082" w:rsidP="00882082">
            <w:pPr>
              <w:spacing w:after="0" w:line="240" w:lineRule="auto"/>
              <w:jc w:val="center"/>
              <w:rPr>
                <w:rFonts w:ascii="Verdana" w:eastAsia="Calibri" w:hAnsi="Verdana" w:cs="Times New Roman"/>
                <w:sz w:val="18"/>
                <w:szCs w:val="18"/>
                <w:lang w:val="es-MX"/>
              </w:rPr>
            </w:pPr>
            <w:r w:rsidRPr="00AC7955">
              <w:rPr>
                <w:rFonts w:ascii="Verdana" w:eastAsia="Calibri" w:hAnsi="Verdana" w:cs="Times New Roman"/>
                <w:sz w:val="18"/>
                <w:szCs w:val="18"/>
                <w:lang w:val="es-MX"/>
              </w:rPr>
              <w:t>(Cómo se ha resuelto el tema en su país)</w:t>
            </w:r>
          </w:p>
        </w:tc>
        <w:tc>
          <w:tcPr>
            <w:tcW w:w="7008" w:type="dxa"/>
            <w:shd w:val="clear" w:color="auto" w:fill="auto"/>
          </w:tcPr>
          <w:p w:rsidR="002436A6" w:rsidRDefault="002436A6" w:rsidP="00522F6E">
            <w:pPr>
              <w:spacing w:after="0" w:line="240" w:lineRule="auto"/>
              <w:jc w:val="both"/>
              <w:rPr>
                <w:rFonts w:ascii="Verdana" w:eastAsia="Times New Roman" w:hAnsi="Verdana" w:cs="Arial"/>
                <w:iCs/>
                <w:sz w:val="20"/>
                <w:lang w:val="es-MX"/>
              </w:rPr>
            </w:pPr>
          </w:p>
          <w:p w:rsidR="003F757B" w:rsidRDefault="003F757B" w:rsidP="00522F6E">
            <w:pPr>
              <w:spacing w:after="0" w:line="240" w:lineRule="auto"/>
              <w:jc w:val="both"/>
              <w:rPr>
                <w:rFonts w:ascii="Verdana" w:eastAsia="Times New Roman" w:hAnsi="Verdana" w:cs="Arial"/>
                <w:iCs/>
                <w:sz w:val="20"/>
                <w:lang w:val="es-MX"/>
              </w:rPr>
            </w:pPr>
            <w:r>
              <w:rPr>
                <w:rFonts w:ascii="Verdana" w:eastAsia="Times New Roman" w:hAnsi="Verdana" w:cs="Arial"/>
                <w:iCs/>
                <w:sz w:val="20"/>
                <w:lang w:val="es-MX"/>
              </w:rPr>
              <w:t>Ejemplo de solicitante frecuente en que se resolvió el conflicto por medio del diálogo:</w:t>
            </w:r>
          </w:p>
          <w:p w:rsidR="000F44FF" w:rsidRDefault="008F79A6" w:rsidP="00522F6E">
            <w:pPr>
              <w:spacing w:after="0" w:line="240" w:lineRule="auto"/>
              <w:jc w:val="both"/>
              <w:rPr>
                <w:rFonts w:ascii="Verdana" w:eastAsia="Times New Roman" w:hAnsi="Verdana" w:cs="Arial"/>
                <w:iCs/>
                <w:sz w:val="20"/>
              </w:rPr>
            </w:pPr>
            <w:hyperlink r:id="rId8" w:history="1">
              <w:r w:rsidR="003F757B" w:rsidRPr="00812E6C">
                <w:rPr>
                  <w:rStyle w:val="Hyperlink"/>
                  <w:rFonts w:ascii="Verdana" w:eastAsia="Times New Roman" w:hAnsi="Verdana" w:cs="Arial"/>
                  <w:iCs/>
                  <w:sz w:val="20"/>
                </w:rPr>
                <w:t>http://www.acessoainformacao.gov.br/precedentes/MEC/IFMT/23480003592201475%20e%2023480006941201419%20ifmt.pdf</w:t>
              </w:r>
            </w:hyperlink>
          </w:p>
          <w:p w:rsidR="003F757B" w:rsidRPr="000F44FF" w:rsidRDefault="003F757B" w:rsidP="003F757B">
            <w:pPr>
              <w:spacing w:after="0" w:line="240" w:lineRule="auto"/>
              <w:jc w:val="both"/>
              <w:rPr>
                <w:rFonts w:ascii="Verdana" w:eastAsia="Times New Roman" w:hAnsi="Verdana" w:cs="Arial"/>
                <w:iCs/>
                <w:sz w:val="20"/>
              </w:rPr>
            </w:pPr>
          </w:p>
        </w:tc>
      </w:tr>
    </w:tbl>
    <w:p w:rsidR="007C6560" w:rsidRPr="004C26D7" w:rsidRDefault="007C6560" w:rsidP="004C26D7">
      <w:pPr>
        <w:spacing w:after="0" w:line="240" w:lineRule="auto"/>
        <w:jc w:val="both"/>
        <w:rPr>
          <w:rFonts w:ascii="Verdana" w:hAnsi="Verdana"/>
          <w:b/>
          <w:sz w:val="20"/>
          <w:szCs w:val="20"/>
        </w:rPr>
      </w:pPr>
    </w:p>
    <w:p w:rsidR="007C6560" w:rsidRDefault="007C6560" w:rsidP="007C6560">
      <w:pPr>
        <w:pStyle w:val="PargrafodaLista"/>
        <w:spacing w:after="0" w:line="240" w:lineRule="auto"/>
        <w:jc w:val="both"/>
        <w:rPr>
          <w:rFonts w:ascii="Verdana" w:hAnsi="Verdana"/>
          <w:b/>
          <w:sz w:val="20"/>
          <w:szCs w:val="20"/>
        </w:rPr>
      </w:pPr>
    </w:p>
    <w:p w:rsidR="00E131FB" w:rsidRDefault="00E131FB" w:rsidP="00E131FB">
      <w:pPr>
        <w:pStyle w:val="PargrafodaLista"/>
        <w:numPr>
          <w:ilvl w:val="0"/>
          <w:numId w:val="1"/>
        </w:numPr>
        <w:spacing w:after="0" w:line="240" w:lineRule="auto"/>
        <w:jc w:val="both"/>
        <w:rPr>
          <w:rFonts w:ascii="Verdana" w:hAnsi="Verdana"/>
          <w:b/>
          <w:sz w:val="20"/>
          <w:szCs w:val="20"/>
        </w:rPr>
      </w:pPr>
      <w:r w:rsidRPr="0033282F">
        <w:rPr>
          <w:rFonts w:ascii="Verdana" w:hAnsi="Verdana"/>
          <w:b/>
          <w:sz w:val="20"/>
          <w:szCs w:val="20"/>
        </w:rPr>
        <w:t>Procedimiento para las conclusiones</w:t>
      </w:r>
      <w:r w:rsidR="0033282F">
        <w:rPr>
          <w:rFonts w:ascii="Verdana" w:hAnsi="Verdana"/>
          <w:b/>
          <w:sz w:val="20"/>
          <w:szCs w:val="20"/>
        </w:rPr>
        <w:t>:</w:t>
      </w:r>
    </w:p>
    <w:p w:rsidR="00882082" w:rsidRDefault="00882082" w:rsidP="00882082">
      <w:pPr>
        <w:spacing w:after="0" w:line="240" w:lineRule="auto"/>
        <w:jc w:val="both"/>
        <w:rPr>
          <w:rFonts w:ascii="Verdana" w:hAnsi="Verdana"/>
          <w:b/>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 xml:space="preserve">Una vez que se tenga la información </w:t>
      </w:r>
      <w:r w:rsidR="00F617EE">
        <w:rPr>
          <w:rFonts w:ascii="Verdana" w:hAnsi="Verdana"/>
          <w:sz w:val="20"/>
          <w:szCs w:val="20"/>
        </w:rPr>
        <w:t xml:space="preserve">de todos los países </w:t>
      </w:r>
      <w:r w:rsidRPr="00882082">
        <w:rPr>
          <w:rFonts w:ascii="Verdana" w:hAnsi="Verdana"/>
          <w:sz w:val="20"/>
          <w:szCs w:val="20"/>
        </w:rPr>
        <w:t>en la página</w:t>
      </w:r>
      <w:r w:rsidR="00F617EE">
        <w:rPr>
          <w:rFonts w:ascii="Verdana" w:hAnsi="Verdana"/>
          <w:sz w:val="20"/>
          <w:szCs w:val="20"/>
        </w:rPr>
        <w:t xml:space="preserve"> –esto es en la fecha acordada para hacerlo-</w:t>
      </w:r>
      <w:r w:rsidRPr="00882082">
        <w:rPr>
          <w:rFonts w:ascii="Verdana" w:hAnsi="Verdana"/>
          <w:sz w:val="20"/>
          <w:szCs w:val="20"/>
        </w:rPr>
        <w:t xml:space="preserve"> cada país deberá emitir sus propias conclusiones y proponer una conclusión general para el Grupo</w:t>
      </w:r>
      <w:r w:rsidR="00F617EE">
        <w:rPr>
          <w:rFonts w:ascii="Verdana" w:hAnsi="Verdana"/>
          <w:sz w:val="20"/>
          <w:szCs w:val="20"/>
        </w:rPr>
        <w:t xml:space="preserve"> de Jurisprudencia RTA</w:t>
      </w:r>
      <w:r w:rsidRPr="00882082">
        <w:rPr>
          <w:rFonts w:ascii="Verdana" w:hAnsi="Verdana"/>
          <w:sz w:val="20"/>
          <w:szCs w:val="20"/>
        </w:rPr>
        <w:t>.</w:t>
      </w:r>
    </w:p>
    <w:p w:rsidR="00882082" w:rsidRPr="00882082" w:rsidRDefault="00882082" w:rsidP="00882082">
      <w:pPr>
        <w:spacing w:after="0" w:line="240" w:lineRule="auto"/>
        <w:jc w:val="both"/>
        <w:rPr>
          <w:rFonts w:ascii="Verdana" w:hAnsi="Verdana"/>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México, al ser el grupo líder</w:t>
      </w:r>
      <w:r w:rsidR="00F617EE">
        <w:rPr>
          <w:rFonts w:ascii="Verdana" w:hAnsi="Verdana"/>
          <w:sz w:val="20"/>
          <w:szCs w:val="20"/>
        </w:rPr>
        <w:t>,</w:t>
      </w:r>
      <w:r w:rsidRPr="00882082">
        <w:rPr>
          <w:rFonts w:ascii="Verdana" w:hAnsi="Verdana"/>
          <w:sz w:val="20"/>
          <w:szCs w:val="20"/>
        </w:rPr>
        <w:t xml:space="preserve"> elaborará un análisis de todas las propuestas y emitirá un criterio </w:t>
      </w:r>
      <w:r w:rsidR="00F617EE">
        <w:rPr>
          <w:rFonts w:ascii="Verdana" w:hAnsi="Verdana"/>
          <w:sz w:val="20"/>
          <w:szCs w:val="20"/>
        </w:rPr>
        <w:t xml:space="preserve">único </w:t>
      </w:r>
      <w:r w:rsidRPr="00882082">
        <w:rPr>
          <w:rFonts w:ascii="Verdana" w:hAnsi="Verdana"/>
          <w:sz w:val="20"/>
          <w:szCs w:val="20"/>
        </w:rPr>
        <w:t>que previamente enviará a los países miembro</w:t>
      </w:r>
      <w:r>
        <w:rPr>
          <w:rFonts w:ascii="Verdana" w:hAnsi="Verdana"/>
          <w:sz w:val="20"/>
          <w:szCs w:val="20"/>
        </w:rPr>
        <w:t>s</w:t>
      </w:r>
      <w:r w:rsidRPr="00882082">
        <w:rPr>
          <w:rFonts w:ascii="Verdana" w:hAnsi="Verdana"/>
          <w:sz w:val="20"/>
          <w:szCs w:val="20"/>
        </w:rPr>
        <w:t xml:space="preserve"> para </w:t>
      </w:r>
      <w:r w:rsidR="005E04AA">
        <w:rPr>
          <w:rFonts w:ascii="Verdana" w:hAnsi="Verdana"/>
          <w:sz w:val="20"/>
          <w:szCs w:val="20"/>
        </w:rPr>
        <w:t>reflejar la posición que tiene el grupo en ese tema</w:t>
      </w:r>
      <w:r w:rsidRPr="00882082">
        <w:rPr>
          <w:rFonts w:ascii="Verdana" w:hAnsi="Verdana"/>
          <w:sz w:val="20"/>
          <w:szCs w:val="20"/>
        </w:rPr>
        <w:t xml:space="preserve">. Lo anterior, con independencia de que se publicará también en la página el criterio </w:t>
      </w:r>
      <w:r w:rsidR="00F617EE">
        <w:rPr>
          <w:rFonts w:ascii="Verdana" w:hAnsi="Verdana"/>
          <w:sz w:val="20"/>
          <w:szCs w:val="20"/>
        </w:rPr>
        <w:t>al que haya concluido cada país en lo individual.</w:t>
      </w:r>
      <w:r w:rsidRPr="00882082">
        <w:rPr>
          <w:rFonts w:ascii="Verdana" w:hAnsi="Verdana"/>
          <w:sz w:val="20"/>
          <w:szCs w:val="20"/>
        </w:rPr>
        <w:t xml:space="preserve"> </w:t>
      </w:r>
    </w:p>
    <w:p w:rsidR="0033282F" w:rsidRDefault="0033282F" w:rsidP="0033282F">
      <w:pPr>
        <w:spacing w:after="0" w:line="240" w:lineRule="auto"/>
        <w:ind w:left="360"/>
        <w:jc w:val="both"/>
        <w:rPr>
          <w:rFonts w:ascii="Verdana" w:hAnsi="Verdana"/>
          <w:b/>
          <w:sz w:val="20"/>
          <w:szCs w:val="20"/>
        </w:rPr>
      </w:pPr>
    </w:p>
    <w:p w:rsidR="0033282F" w:rsidRPr="0033282F" w:rsidRDefault="0033282F" w:rsidP="0033282F">
      <w:pPr>
        <w:spacing w:after="0" w:line="240" w:lineRule="auto"/>
        <w:ind w:left="360"/>
        <w:jc w:val="both"/>
        <w:rPr>
          <w:rFonts w:ascii="Verdana" w:hAnsi="Verdana"/>
          <w:b/>
          <w:sz w:val="20"/>
          <w:szCs w:val="20"/>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522F6E" w:rsidTr="00882082">
        <w:tc>
          <w:tcPr>
            <w:tcW w:w="8978" w:type="dxa"/>
            <w:gridSpan w:val="2"/>
            <w:shd w:val="clear" w:color="auto" w:fill="auto"/>
          </w:tcPr>
          <w:p w:rsidR="00882082" w:rsidRPr="00522F6E" w:rsidRDefault="00882082" w:rsidP="00882082">
            <w:pPr>
              <w:spacing w:after="0" w:line="240" w:lineRule="auto"/>
              <w:jc w:val="center"/>
              <w:rPr>
                <w:rFonts w:ascii="Verdana" w:eastAsia="Times New Roman" w:hAnsi="Verdana" w:cs="Arial"/>
                <w:b/>
                <w:iCs/>
                <w:sz w:val="18"/>
                <w:szCs w:val="18"/>
              </w:rPr>
            </w:pPr>
            <w:r w:rsidRPr="00882082">
              <w:rPr>
                <w:rFonts w:ascii="Verdana" w:eastAsia="Calibri" w:hAnsi="Verdana" w:cs="Times New Roman"/>
                <w:b/>
                <w:lang w:val="es-MX"/>
              </w:rPr>
              <w:t>“…”</w:t>
            </w:r>
            <w:r>
              <w:rPr>
                <w:rFonts w:ascii="Verdana" w:eastAsia="Calibri" w:hAnsi="Verdana" w:cs="Times New Roman"/>
                <w:b/>
                <w:sz w:val="18"/>
                <w:szCs w:val="18"/>
                <w:lang w:val="es-MX"/>
              </w:rPr>
              <w:t xml:space="preserve"> (Tema</w:t>
            </w:r>
            <w:r w:rsidR="005E04AA">
              <w:rPr>
                <w:rFonts w:ascii="Verdana" w:eastAsia="Calibri" w:hAnsi="Verdana" w:cs="Times New Roman"/>
                <w:b/>
                <w:sz w:val="18"/>
                <w:szCs w:val="18"/>
                <w:lang w:val="es-MX"/>
              </w:rPr>
              <w:t xml:space="preserve"> y subtema</w:t>
            </w:r>
            <w:r>
              <w:rPr>
                <w:rFonts w:ascii="Verdana" w:eastAsia="Calibri" w:hAnsi="Verdana" w:cs="Times New Roman"/>
                <w:b/>
                <w:sz w:val="18"/>
                <w:szCs w:val="18"/>
                <w:lang w:val="es-MX"/>
              </w:rPr>
              <w:t>)</w:t>
            </w:r>
          </w:p>
        </w:tc>
      </w:tr>
      <w:tr w:rsidR="00882082" w:rsidRPr="00522F6E" w:rsidTr="00882082">
        <w:tc>
          <w:tcPr>
            <w:tcW w:w="2093" w:type="dxa"/>
            <w:shd w:val="clear" w:color="auto" w:fill="auto"/>
          </w:tcPr>
          <w:p w:rsidR="00882082" w:rsidRPr="00522F6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Conclusiones por País</w:t>
            </w:r>
          </w:p>
        </w:tc>
        <w:tc>
          <w:tcPr>
            <w:tcW w:w="6885" w:type="dxa"/>
            <w:shd w:val="clear" w:color="auto" w:fill="auto"/>
          </w:tcPr>
          <w:p w:rsidR="00882082" w:rsidRPr="00522F6E" w:rsidRDefault="00882082" w:rsidP="00882082">
            <w:pPr>
              <w:spacing w:after="0" w:line="240" w:lineRule="auto"/>
              <w:jc w:val="both"/>
              <w:rPr>
                <w:rFonts w:ascii="Verdana" w:eastAsia="Times New Roman" w:hAnsi="Verdana" w:cs="Arial"/>
                <w:iCs/>
                <w:sz w:val="18"/>
                <w:szCs w:val="18"/>
              </w:rPr>
            </w:pPr>
          </w:p>
        </w:tc>
      </w:tr>
      <w:tr w:rsidR="00882082" w:rsidRPr="00522F6E" w:rsidTr="00882082">
        <w:tc>
          <w:tcPr>
            <w:tcW w:w="2093" w:type="dxa"/>
            <w:shd w:val="clear" w:color="auto" w:fill="auto"/>
          </w:tcPr>
          <w:p w:rsidR="00F617E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Criterio Propuesto</w:t>
            </w:r>
          </w:p>
          <w:p w:rsidR="00882082" w:rsidRPr="00F617EE" w:rsidRDefault="00F617EE" w:rsidP="00882082">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w:t>
            </w:r>
            <w:r w:rsidRPr="00F617EE">
              <w:rPr>
                <w:rFonts w:ascii="Verdana" w:eastAsia="Calibri" w:hAnsi="Verdana" w:cs="Times New Roman"/>
                <w:sz w:val="18"/>
                <w:szCs w:val="18"/>
                <w:lang w:val="es-MX"/>
              </w:rPr>
              <w:t>Conclusión para el Grupo</w:t>
            </w:r>
            <w:r>
              <w:rPr>
                <w:rFonts w:ascii="Verdana" w:eastAsia="Calibri" w:hAnsi="Verdana" w:cs="Times New Roman"/>
                <w:sz w:val="18"/>
                <w:szCs w:val="18"/>
                <w:lang w:val="es-MX"/>
              </w:rPr>
              <w:t>)</w:t>
            </w:r>
          </w:p>
        </w:tc>
        <w:tc>
          <w:tcPr>
            <w:tcW w:w="6885" w:type="dxa"/>
            <w:shd w:val="clear" w:color="auto" w:fill="auto"/>
          </w:tcPr>
          <w:p w:rsidR="00882082" w:rsidRPr="00522F6E" w:rsidRDefault="00882082" w:rsidP="00882082">
            <w:pPr>
              <w:autoSpaceDE w:val="0"/>
              <w:autoSpaceDN w:val="0"/>
              <w:adjustRightInd w:val="0"/>
              <w:spacing w:after="0" w:line="240" w:lineRule="auto"/>
              <w:rPr>
                <w:rFonts w:ascii="Verdana" w:eastAsia="Times New Roman" w:hAnsi="Verdana" w:cs="Arial"/>
                <w:iCs/>
                <w:sz w:val="18"/>
                <w:szCs w:val="18"/>
              </w:rPr>
            </w:pPr>
          </w:p>
        </w:tc>
      </w:tr>
    </w:tbl>
    <w:p w:rsidR="00E131FB" w:rsidRPr="0033282F" w:rsidRDefault="00E131FB" w:rsidP="00E131FB">
      <w:pPr>
        <w:spacing w:after="0" w:line="240" w:lineRule="auto"/>
        <w:jc w:val="both"/>
        <w:rPr>
          <w:rFonts w:ascii="Verdana" w:hAnsi="Verdana"/>
          <w:sz w:val="20"/>
          <w:szCs w:val="20"/>
        </w:rPr>
      </w:pPr>
    </w:p>
    <w:sectPr w:rsidR="00E131FB" w:rsidRPr="0033282F" w:rsidSect="00F617E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A6" w:rsidRDefault="008F79A6" w:rsidP="007C6560">
      <w:pPr>
        <w:spacing w:after="0" w:line="240" w:lineRule="auto"/>
      </w:pPr>
      <w:r>
        <w:separator/>
      </w:r>
    </w:p>
  </w:endnote>
  <w:endnote w:type="continuationSeparator" w:id="0">
    <w:p w:rsidR="008F79A6" w:rsidRDefault="008F79A6" w:rsidP="007C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A6" w:rsidRDefault="008F79A6" w:rsidP="007C6560">
      <w:pPr>
        <w:spacing w:after="0" w:line="240" w:lineRule="auto"/>
      </w:pPr>
      <w:r>
        <w:separator/>
      </w:r>
    </w:p>
  </w:footnote>
  <w:footnote w:type="continuationSeparator" w:id="0">
    <w:p w:rsidR="008F79A6" w:rsidRDefault="008F79A6" w:rsidP="007C6560">
      <w:pPr>
        <w:spacing w:after="0" w:line="240" w:lineRule="auto"/>
      </w:pPr>
      <w:r>
        <w:continuationSeparator/>
      </w:r>
    </w:p>
  </w:footnote>
  <w:footnote w:id="1">
    <w:p w:rsidR="005B4E50" w:rsidRPr="005B4E50" w:rsidRDefault="005B4E50">
      <w:pPr>
        <w:pStyle w:val="Textodenotaderodap"/>
        <w:rPr>
          <w:lang w:val="pt-BR"/>
        </w:rPr>
      </w:pPr>
      <w:r>
        <w:rPr>
          <w:rStyle w:val="Refdenotaderodap"/>
        </w:rPr>
        <w:footnoteRef/>
      </w:r>
      <w:r>
        <w:t xml:space="preserve"> </w:t>
      </w:r>
      <w:hyperlink r:id="rId1" w:history="1">
        <w:r w:rsidRPr="00812E6C">
          <w:rPr>
            <w:rStyle w:val="Hyperlink"/>
          </w:rPr>
          <w:t>http://www.planalto.gov.br/ccivil_03/_ato2011-2014/2012/decreto/d7724.htm</w:t>
        </w:r>
      </w:hyperlink>
    </w:p>
  </w:footnote>
  <w:footnote w:id="2">
    <w:p w:rsidR="005B4E50" w:rsidRPr="005B4E50" w:rsidRDefault="005B4E50">
      <w:pPr>
        <w:pStyle w:val="Textodenotaderodap"/>
        <w:rPr>
          <w:lang w:val="pt-BR"/>
        </w:rPr>
      </w:pPr>
      <w:r>
        <w:rPr>
          <w:rStyle w:val="Refdenotaderodap"/>
        </w:rPr>
        <w:footnoteRef/>
      </w:r>
      <w:r w:rsidRPr="005B4E50">
        <w:rPr>
          <w:lang w:val="pt-BR"/>
        </w:rPr>
        <w:t xml:space="preserve"> </w:t>
      </w:r>
      <w:r w:rsidR="008F79A6">
        <w:fldChar w:fldCharType="begin"/>
      </w:r>
      <w:r w:rsidR="008F79A6" w:rsidRPr="00C74298">
        <w:rPr>
          <w:lang w:val="pt-BR"/>
        </w:rPr>
        <w:instrText xml:space="preserve"> HYPERLINK "http://www.planalto.gov.br/ccivil_03/_ato2011-2014/2011/lei/l12527.htm" </w:instrText>
      </w:r>
      <w:r w:rsidR="008F79A6">
        <w:fldChar w:fldCharType="separate"/>
      </w:r>
      <w:r w:rsidRPr="00812E6C">
        <w:rPr>
          <w:rStyle w:val="Hyperlink"/>
          <w:lang w:val="pt-BR"/>
        </w:rPr>
        <w:t>http://www.planalto.gov.br/ccivil_03/_ato2011-2014/2011/lei/l12527.htm</w:t>
      </w:r>
      <w:r w:rsidR="008F79A6">
        <w:rPr>
          <w:rStyle w:val="Hyperlink"/>
          <w:lang w:val="pt-BR"/>
        </w:rPr>
        <w:fldChar w:fldCharType="end"/>
      </w:r>
    </w:p>
  </w:footnote>
  <w:footnote w:id="3">
    <w:p w:rsidR="009F50A9" w:rsidRPr="009F50A9" w:rsidRDefault="009F50A9">
      <w:pPr>
        <w:pStyle w:val="Textodenotaderodap"/>
        <w:rPr>
          <w:lang w:val="pt-BR"/>
        </w:rPr>
      </w:pPr>
      <w:r>
        <w:rPr>
          <w:rStyle w:val="Refdenotaderodap"/>
        </w:rPr>
        <w:footnoteRef/>
      </w:r>
      <w:r w:rsidRPr="009F50A9">
        <w:rPr>
          <w:lang w:val="pt-BR"/>
        </w:rPr>
        <w:t xml:space="preserve"> </w:t>
      </w:r>
      <w:r w:rsidR="008F79A6">
        <w:fldChar w:fldCharType="begin"/>
      </w:r>
      <w:r w:rsidR="008F79A6" w:rsidRPr="00C74298">
        <w:rPr>
          <w:lang w:val="pt-BR"/>
        </w:rPr>
        <w:instrText xml:space="preserve"> HYPERLINK "http:/</w:instrText>
      </w:r>
      <w:r w:rsidR="008F79A6" w:rsidRPr="00C74298">
        <w:rPr>
          <w:lang w:val="pt-BR"/>
        </w:rPr>
        <w:instrText xml:space="preserve">/www.planalto.gov.br/ccivil_03/leis/L9784.htm" </w:instrText>
      </w:r>
      <w:r w:rsidR="008F79A6">
        <w:fldChar w:fldCharType="separate"/>
      </w:r>
      <w:r w:rsidRPr="00812E6C">
        <w:rPr>
          <w:rStyle w:val="Hyperlink"/>
          <w:lang w:val="pt-BR"/>
        </w:rPr>
        <w:t>http://www.planalto.gov.br/ccivil_03/leis/L9784.htm</w:t>
      </w:r>
      <w:r w:rsidR="008F79A6">
        <w:rPr>
          <w:rStyle w:val="Hyperlink"/>
          <w:lang w:val="pt-BR"/>
        </w:rPr>
        <w:fldChar w:fldCharType="end"/>
      </w:r>
    </w:p>
  </w:footnote>
  <w:footnote w:id="4">
    <w:p w:rsidR="009F50A9" w:rsidRPr="009F50A9" w:rsidRDefault="009F50A9">
      <w:pPr>
        <w:pStyle w:val="Textodenotaderodap"/>
        <w:rPr>
          <w:lang w:val="pt-BR"/>
        </w:rPr>
      </w:pPr>
      <w:r>
        <w:rPr>
          <w:rStyle w:val="Refdenotaderodap"/>
        </w:rPr>
        <w:footnoteRef/>
      </w:r>
      <w:r w:rsidRPr="009F50A9">
        <w:rPr>
          <w:lang w:val="pt-BR"/>
        </w:rPr>
        <w:t xml:space="preserve"> </w:t>
      </w:r>
      <w:r w:rsidR="008F79A6">
        <w:fldChar w:fldCharType="begin"/>
      </w:r>
      <w:r w:rsidR="008F79A6" w:rsidRPr="00C74298">
        <w:rPr>
          <w:lang w:val="pt-BR"/>
        </w:rPr>
        <w:instrText xml:space="preserve"> HYPERLINK "http://www.planalto.gov.br/ccivil_03/leis/l5869compilada.htm" </w:instrText>
      </w:r>
      <w:r w:rsidR="008F79A6">
        <w:fldChar w:fldCharType="separate"/>
      </w:r>
      <w:r w:rsidRPr="00812E6C">
        <w:rPr>
          <w:rStyle w:val="Hyperlink"/>
          <w:lang w:val="pt-BR"/>
        </w:rPr>
        <w:t>http://www.planalto.gov.br/ccivil_03/leis/l5869compilada.htm</w:t>
      </w:r>
      <w:r w:rsidR="008F79A6">
        <w:rPr>
          <w:rStyle w:val="Hyperlink"/>
          <w:lang w:val="pt-BR"/>
        </w:rPr>
        <w:fldChar w:fldCharType="end"/>
      </w:r>
    </w:p>
  </w:footnote>
  <w:footnote w:id="5">
    <w:p w:rsidR="00671EEB" w:rsidRPr="00671EEB" w:rsidRDefault="00671EEB">
      <w:pPr>
        <w:pStyle w:val="Textodenotaderodap"/>
        <w:rPr>
          <w:lang w:val="pt-BR"/>
        </w:rPr>
      </w:pPr>
      <w:r>
        <w:rPr>
          <w:rStyle w:val="Refdenotaderodap"/>
        </w:rPr>
        <w:footnoteRef/>
      </w:r>
      <w:r w:rsidRPr="00671EEB">
        <w:rPr>
          <w:lang w:val="pt-BR"/>
        </w:rPr>
        <w:t xml:space="preserve"> </w:t>
      </w:r>
      <w:r w:rsidR="008F79A6">
        <w:fldChar w:fldCharType="begin"/>
      </w:r>
      <w:r w:rsidR="008F79A6" w:rsidRPr="00C74298">
        <w:rPr>
          <w:lang w:val="pt-BR"/>
        </w:rPr>
        <w:instrText xml:space="preserve"> HYPERLINK "http://www.planalto.gov.br/ccivil_03/leis/2002/l10406.htm" </w:instrText>
      </w:r>
      <w:r w:rsidR="008F79A6">
        <w:fldChar w:fldCharType="separate"/>
      </w:r>
      <w:r w:rsidRPr="00812E6C">
        <w:rPr>
          <w:rStyle w:val="Hyperlink"/>
          <w:lang w:val="pt-BR"/>
        </w:rPr>
        <w:t>http://www.planalto.gov.br/ccivil_03/leis/2002/l10406.htm</w:t>
      </w:r>
      <w:r w:rsidR="008F79A6">
        <w:rPr>
          <w:rStyle w:val="Hyperlink"/>
          <w:lang w:val="pt-BR"/>
        </w:rPr>
        <w:fldChar w:fldCharType="end"/>
      </w:r>
    </w:p>
  </w:footnote>
  <w:footnote w:id="6">
    <w:p w:rsidR="00D53E67" w:rsidRPr="00D53E67" w:rsidRDefault="00D53E67">
      <w:pPr>
        <w:pStyle w:val="Textodenotaderodap"/>
        <w:rPr>
          <w:lang w:val="pt-BR"/>
        </w:rPr>
      </w:pPr>
      <w:r>
        <w:rPr>
          <w:rStyle w:val="Refdenotaderodap"/>
        </w:rPr>
        <w:footnoteRef/>
      </w:r>
      <w:r w:rsidRPr="00D53E67">
        <w:rPr>
          <w:lang w:val="pt-BR"/>
        </w:rPr>
        <w:t xml:space="preserve"> </w:t>
      </w:r>
      <w:r w:rsidR="008F79A6">
        <w:fldChar w:fldCharType="begin"/>
      </w:r>
      <w:r w:rsidR="008F79A6" w:rsidRPr="00C74298">
        <w:rPr>
          <w:lang w:val="pt-BR"/>
        </w:rPr>
        <w:instrText xml:space="preserve"> HYPERLINK "http://www.acessoainformacao.gov.br/" </w:instrText>
      </w:r>
      <w:r w:rsidR="008F79A6">
        <w:fldChar w:fldCharType="separate"/>
      </w:r>
      <w:r w:rsidRPr="00812E6C">
        <w:rPr>
          <w:rStyle w:val="Hyperlink"/>
          <w:lang w:val="pt-BR"/>
        </w:rPr>
        <w:t>http://www.acessoainformacao.gov.br/</w:t>
      </w:r>
      <w:r w:rsidR="008F79A6">
        <w:rPr>
          <w:rStyle w:val="Hyperlink"/>
          <w:lang w:val="pt-BR"/>
        </w:rPr>
        <w:fldChar w:fldCharType="end"/>
      </w:r>
    </w:p>
  </w:footnote>
  <w:footnote w:id="7">
    <w:p w:rsidR="00E55A41" w:rsidRPr="00E55A41" w:rsidRDefault="00E55A41">
      <w:pPr>
        <w:pStyle w:val="Textodenotaderodap"/>
        <w:rPr>
          <w:lang w:val="pt-BR"/>
        </w:rPr>
      </w:pPr>
      <w:r>
        <w:rPr>
          <w:rStyle w:val="Refdenotaderodap"/>
        </w:rPr>
        <w:footnoteRef/>
      </w:r>
      <w:r w:rsidRPr="00E55A41">
        <w:rPr>
          <w:lang w:val="pt-BR"/>
        </w:rPr>
        <w:t xml:space="preserve"> </w:t>
      </w:r>
      <w:r w:rsidR="008F79A6">
        <w:fldChar w:fldCharType="begin"/>
      </w:r>
      <w:r w:rsidR="008F79A6" w:rsidRPr="00C74298">
        <w:rPr>
          <w:lang w:val="pt-BR"/>
        </w:rPr>
        <w:instrText xml:space="preserve"> HYPERLINK "https://sistema.ou</w:instrText>
      </w:r>
      <w:r w:rsidR="008F79A6" w:rsidRPr="00C74298">
        <w:rPr>
          <w:lang w:val="pt-BR"/>
        </w:rPr>
        <w:instrText xml:space="preserve">vidorias.gov.br/index.aspx?ReturnUrl=%2f" </w:instrText>
      </w:r>
      <w:r w:rsidR="008F79A6">
        <w:fldChar w:fldCharType="separate"/>
      </w:r>
      <w:r w:rsidRPr="00812E6C">
        <w:rPr>
          <w:rStyle w:val="Hyperlink"/>
          <w:lang w:val="pt-BR"/>
        </w:rPr>
        <w:t>https://sistema.ouvidorias.gov.br/index.aspx?ReturnUrl=%2f</w:t>
      </w:r>
      <w:r w:rsidR="008F79A6">
        <w:rPr>
          <w:rStyle w:val="Hyperlink"/>
          <w:lang w:val="pt-BR"/>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344"/>
    <w:multiLevelType w:val="hybridMultilevel"/>
    <w:tmpl w:val="78CE0B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0B77E4"/>
    <w:multiLevelType w:val="multilevel"/>
    <w:tmpl w:val="C428EB60"/>
    <w:lvl w:ilvl="0">
      <w:start w:val="1"/>
      <w:numFmt w:val="bullet"/>
      <w:lvlText w:val=""/>
      <w:lvlJc w:val="left"/>
      <w:pPr>
        <w:ind w:left="720" w:hanging="360"/>
      </w:pPr>
      <w:rPr>
        <w:rFonts w:ascii="Wingdings" w:hAnsi="Wingdings" w:cs="Wingdings"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1B679E"/>
    <w:multiLevelType w:val="hybridMultilevel"/>
    <w:tmpl w:val="96C695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755E"/>
    <w:rsid w:val="00022646"/>
    <w:rsid w:val="00045CA0"/>
    <w:rsid w:val="000478B8"/>
    <w:rsid w:val="00053596"/>
    <w:rsid w:val="00056728"/>
    <w:rsid w:val="00070797"/>
    <w:rsid w:val="00071506"/>
    <w:rsid w:val="00080FED"/>
    <w:rsid w:val="000A1255"/>
    <w:rsid w:val="000A5A32"/>
    <w:rsid w:val="000E1181"/>
    <w:rsid w:val="000F44FF"/>
    <w:rsid w:val="00103E77"/>
    <w:rsid w:val="00114E5C"/>
    <w:rsid w:val="00120637"/>
    <w:rsid w:val="00131D68"/>
    <w:rsid w:val="00146411"/>
    <w:rsid w:val="00170440"/>
    <w:rsid w:val="00181BB4"/>
    <w:rsid w:val="00191369"/>
    <w:rsid w:val="001C2704"/>
    <w:rsid w:val="001D1FB7"/>
    <w:rsid w:val="001D2AD1"/>
    <w:rsid w:val="001D5D79"/>
    <w:rsid w:val="001E743D"/>
    <w:rsid w:val="001F1D8B"/>
    <w:rsid w:val="00221912"/>
    <w:rsid w:val="002436A6"/>
    <w:rsid w:val="00251DD3"/>
    <w:rsid w:val="002530EC"/>
    <w:rsid w:val="00255012"/>
    <w:rsid w:val="00265D68"/>
    <w:rsid w:val="0027058F"/>
    <w:rsid w:val="0027105F"/>
    <w:rsid w:val="002826E4"/>
    <w:rsid w:val="00294542"/>
    <w:rsid w:val="002F397C"/>
    <w:rsid w:val="002F6C55"/>
    <w:rsid w:val="0031057B"/>
    <w:rsid w:val="0032028E"/>
    <w:rsid w:val="0033112F"/>
    <w:rsid w:val="0033282F"/>
    <w:rsid w:val="00356706"/>
    <w:rsid w:val="00371370"/>
    <w:rsid w:val="00397CAB"/>
    <w:rsid w:val="003D5466"/>
    <w:rsid w:val="003E6DFA"/>
    <w:rsid w:val="003F6E4A"/>
    <w:rsid w:val="003F757B"/>
    <w:rsid w:val="00460089"/>
    <w:rsid w:val="004633C9"/>
    <w:rsid w:val="00466144"/>
    <w:rsid w:val="00466AAD"/>
    <w:rsid w:val="004720B0"/>
    <w:rsid w:val="00472DBE"/>
    <w:rsid w:val="00496055"/>
    <w:rsid w:val="004A2F22"/>
    <w:rsid w:val="004B3742"/>
    <w:rsid w:val="004B612B"/>
    <w:rsid w:val="004C26D7"/>
    <w:rsid w:val="004D6E4A"/>
    <w:rsid w:val="004E13C9"/>
    <w:rsid w:val="005039E1"/>
    <w:rsid w:val="00504AD3"/>
    <w:rsid w:val="005119E5"/>
    <w:rsid w:val="00522F6E"/>
    <w:rsid w:val="00541DB8"/>
    <w:rsid w:val="00553A7A"/>
    <w:rsid w:val="005941F2"/>
    <w:rsid w:val="005B2CEB"/>
    <w:rsid w:val="005B4E50"/>
    <w:rsid w:val="005E04AA"/>
    <w:rsid w:val="005E1C14"/>
    <w:rsid w:val="005E2300"/>
    <w:rsid w:val="005F4AF7"/>
    <w:rsid w:val="00642B59"/>
    <w:rsid w:val="006543B1"/>
    <w:rsid w:val="0065479E"/>
    <w:rsid w:val="00666404"/>
    <w:rsid w:val="00671EEB"/>
    <w:rsid w:val="00672BF0"/>
    <w:rsid w:val="00674012"/>
    <w:rsid w:val="006935B0"/>
    <w:rsid w:val="00696525"/>
    <w:rsid w:val="006C1D9E"/>
    <w:rsid w:val="006D192B"/>
    <w:rsid w:val="006F3F37"/>
    <w:rsid w:val="00727BA7"/>
    <w:rsid w:val="00735720"/>
    <w:rsid w:val="00743279"/>
    <w:rsid w:val="00751A9B"/>
    <w:rsid w:val="00761EE1"/>
    <w:rsid w:val="00762DA9"/>
    <w:rsid w:val="00770C64"/>
    <w:rsid w:val="007A5843"/>
    <w:rsid w:val="007B78C3"/>
    <w:rsid w:val="007C2827"/>
    <w:rsid w:val="007C6560"/>
    <w:rsid w:val="007F25A3"/>
    <w:rsid w:val="007F7F09"/>
    <w:rsid w:val="00806B92"/>
    <w:rsid w:val="008130EA"/>
    <w:rsid w:val="0082055B"/>
    <w:rsid w:val="00824842"/>
    <w:rsid w:val="008306C5"/>
    <w:rsid w:val="00835903"/>
    <w:rsid w:val="00855779"/>
    <w:rsid w:val="00862FDB"/>
    <w:rsid w:val="00882082"/>
    <w:rsid w:val="008A39C0"/>
    <w:rsid w:val="008C125B"/>
    <w:rsid w:val="008C79DE"/>
    <w:rsid w:val="008E056E"/>
    <w:rsid w:val="008F79A6"/>
    <w:rsid w:val="0091169A"/>
    <w:rsid w:val="00920301"/>
    <w:rsid w:val="00940575"/>
    <w:rsid w:val="00952DDF"/>
    <w:rsid w:val="00970F79"/>
    <w:rsid w:val="009760E6"/>
    <w:rsid w:val="00982467"/>
    <w:rsid w:val="00986991"/>
    <w:rsid w:val="00994D7E"/>
    <w:rsid w:val="009A26AC"/>
    <w:rsid w:val="009B469C"/>
    <w:rsid w:val="009B7C29"/>
    <w:rsid w:val="009E3132"/>
    <w:rsid w:val="009F0416"/>
    <w:rsid w:val="009F50A9"/>
    <w:rsid w:val="009F575A"/>
    <w:rsid w:val="00A424A1"/>
    <w:rsid w:val="00A448BE"/>
    <w:rsid w:val="00A44C87"/>
    <w:rsid w:val="00A51ACE"/>
    <w:rsid w:val="00A6042A"/>
    <w:rsid w:val="00A72D46"/>
    <w:rsid w:val="00A801E3"/>
    <w:rsid w:val="00A87041"/>
    <w:rsid w:val="00AA236F"/>
    <w:rsid w:val="00AC7955"/>
    <w:rsid w:val="00B23450"/>
    <w:rsid w:val="00B41E49"/>
    <w:rsid w:val="00B51D9B"/>
    <w:rsid w:val="00B5257F"/>
    <w:rsid w:val="00B80B8E"/>
    <w:rsid w:val="00B927E9"/>
    <w:rsid w:val="00BA0431"/>
    <w:rsid w:val="00BB2492"/>
    <w:rsid w:val="00BC40B1"/>
    <w:rsid w:val="00BD1BCA"/>
    <w:rsid w:val="00BD4DF2"/>
    <w:rsid w:val="00BE2BCD"/>
    <w:rsid w:val="00BE63C0"/>
    <w:rsid w:val="00BF6C2E"/>
    <w:rsid w:val="00C14804"/>
    <w:rsid w:val="00C2023C"/>
    <w:rsid w:val="00C3082D"/>
    <w:rsid w:val="00C4564C"/>
    <w:rsid w:val="00C56A54"/>
    <w:rsid w:val="00C74298"/>
    <w:rsid w:val="00C905A6"/>
    <w:rsid w:val="00CA2888"/>
    <w:rsid w:val="00CB058C"/>
    <w:rsid w:val="00CB3B99"/>
    <w:rsid w:val="00CB7391"/>
    <w:rsid w:val="00CC24D9"/>
    <w:rsid w:val="00D209A3"/>
    <w:rsid w:val="00D53E67"/>
    <w:rsid w:val="00D62388"/>
    <w:rsid w:val="00D74B86"/>
    <w:rsid w:val="00D91AAF"/>
    <w:rsid w:val="00D91FD3"/>
    <w:rsid w:val="00DD0F79"/>
    <w:rsid w:val="00DD4A6E"/>
    <w:rsid w:val="00DD5F9E"/>
    <w:rsid w:val="00E01B26"/>
    <w:rsid w:val="00E060F6"/>
    <w:rsid w:val="00E06573"/>
    <w:rsid w:val="00E07601"/>
    <w:rsid w:val="00E131FB"/>
    <w:rsid w:val="00E23674"/>
    <w:rsid w:val="00E43C3C"/>
    <w:rsid w:val="00E548B8"/>
    <w:rsid w:val="00E55A41"/>
    <w:rsid w:val="00E57EA9"/>
    <w:rsid w:val="00E72848"/>
    <w:rsid w:val="00E9428E"/>
    <w:rsid w:val="00EA4228"/>
    <w:rsid w:val="00EB01FF"/>
    <w:rsid w:val="00EB1AEF"/>
    <w:rsid w:val="00EC5C0F"/>
    <w:rsid w:val="00ED094D"/>
    <w:rsid w:val="00ED39C3"/>
    <w:rsid w:val="00ED6C46"/>
    <w:rsid w:val="00EE36C0"/>
    <w:rsid w:val="00EE46E2"/>
    <w:rsid w:val="00EE48A3"/>
    <w:rsid w:val="00EF68A5"/>
    <w:rsid w:val="00F01BA3"/>
    <w:rsid w:val="00F25D4C"/>
    <w:rsid w:val="00F30BA2"/>
    <w:rsid w:val="00F368BA"/>
    <w:rsid w:val="00F37EC6"/>
    <w:rsid w:val="00F577D2"/>
    <w:rsid w:val="00F617EE"/>
    <w:rsid w:val="00F62B7A"/>
    <w:rsid w:val="00F6366A"/>
    <w:rsid w:val="00F84A90"/>
    <w:rsid w:val="00F8725E"/>
    <w:rsid w:val="00F87CC2"/>
    <w:rsid w:val="00FA0B4D"/>
    <w:rsid w:val="00FA18F4"/>
    <w:rsid w:val="00FB7C1E"/>
    <w:rsid w:val="00FC604C"/>
    <w:rsid w:val="00FC7177"/>
    <w:rsid w:val="00FD1349"/>
    <w:rsid w:val="00FD70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5E300-A4BC-4018-9824-88994F93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31FB"/>
    <w:pPr>
      <w:ind w:left="720"/>
      <w:contextualSpacing/>
    </w:pPr>
  </w:style>
  <w:style w:type="character" w:styleId="TtulodoLivro">
    <w:name w:val="Book Title"/>
    <w:basedOn w:val="Fontepargpadro"/>
    <w:uiPriority w:val="33"/>
    <w:qFormat/>
    <w:rsid w:val="00AC7955"/>
    <w:rPr>
      <w:b/>
      <w:bCs/>
      <w:smallCaps/>
      <w:spacing w:val="5"/>
    </w:rPr>
  </w:style>
  <w:style w:type="paragraph" w:styleId="Textodenotaderodap">
    <w:name w:val="footnote text"/>
    <w:basedOn w:val="Normal"/>
    <w:link w:val="TextodenotaderodapChar"/>
    <w:uiPriority w:val="99"/>
    <w:semiHidden/>
    <w:unhideWhenUsed/>
    <w:rsid w:val="007C65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6560"/>
    <w:rPr>
      <w:sz w:val="20"/>
      <w:szCs w:val="20"/>
    </w:rPr>
  </w:style>
  <w:style w:type="character" w:styleId="Refdenotaderodap">
    <w:name w:val="footnote reference"/>
    <w:basedOn w:val="Fontepargpadro"/>
    <w:uiPriority w:val="99"/>
    <w:semiHidden/>
    <w:unhideWhenUsed/>
    <w:rsid w:val="007C6560"/>
    <w:rPr>
      <w:vertAlign w:val="superscript"/>
    </w:rPr>
  </w:style>
  <w:style w:type="character" w:styleId="Hyperlink">
    <w:name w:val="Hyperlink"/>
    <w:basedOn w:val="Fontepargpadro"/>
    <w:uiPriority w:val="99"/>
    <w:unhideWhenUsed/>
    <w:rsid w:val="007C6560"/>
    <w:rPr>
      <w:color w:val="0000FF" w:themeColor="hyperlink"/>
      <w:u w:val="single"/>
    </w:rPr>
  </w:style>
  <w:style w:type="character" w:styleId="Refdecomentrio">
    <w:name w:val="annotation reference"/>
    <w:basedOn w:val="Fontepargpadro"/>
    <w:uiPriority w:val="99"/>
    <w:semiHidden/>
    <w:unhideWhenUsed/>
    <w:rsid w:val="00952DDF"/>
    <w:rPr>
      <w:sz w:val="16"/>
      <w:szCs w:val="16"/>
    </w:rPr>
  </w:style>
  <w:style w:type="paragraph" w:styleId="Textodecomentrio">
    <w:name w:val="annotation text"/>
    <w:basedOn w:val="Normal"/>
    <w:link w:val="TextodecomentrioChar"/>
    <w:uiPriority w:val="99"/>
    <w:semiHidden/>
    <w:unhideWhenUsed/>
    <w:rsid w:val="00952D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2DDF"/>
    <w:rPr>
      <w:sz w:val="20"/>
      <w:szCs w:val="20"/>
    </w:rPr>
  </w:style>
  <w:style w:type="paragraph" w:styleId="Assuntodocomentrio">
    <w:name w:val="annotation subject"/>
    <w:basedOn w:val="Textodecomentrio"/>
    <w:next w:val="Textodecomentrio"/>
    <w:link w:val="AssuntodocomentrioChar"/>
    <w:uiPriority w:val="99"/>
    <w:semiHidden/>
    <w:unhideWhenUsed/>
    <w:rsid w:val="00952DDF"/>
    <w:rPr>
      <w:b/>
      <w:bCs/>
    </w:rPr>
  </w:style>
  <w:style w:type="character" w:customStyle="1" w:styleId="AssuntodocomentrioChar">
    <w:name w:val="Assunto do comentário Char"/>
    <w:basedOn w:val="TextodecomentrioChar"/>
    <w:link w:val="Assuntodocomentrio"/>
    <w:uiPriority w:val="99"/>
    <w:semiHidden/>
    <w:rsid w:val="00952DDF"/>
    <w:rPr>
      <w:b/>
      <w:bCs/>
      <w:sz w:val="20"/>
      <w:szCs w:val="20"/>
    </w:rPr>
  </w:style>
  <w:style w:type="paragraph" w:styleId="Textodebalo">
    <w:name w:val="Balloon Text"/>
    <w:basedOn w:val="Normal"/>
    <w:link w:val="TextodebaloChar"/>
    <w:uiPriority w:val="99"/>
    <w:semiHidden/>
    <w:unhideWhenUsed/>
    <w:rsid w:val="00952D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793325">
      <w:bodyDiv w:val="1"/>
      <w:marLeft w:val="0"/>
      <w:marRight w:val="0"/>
      <w:marTop w:val="0"/>
      <w:marBottom w:val="0"/>
      <w:divBdr>
        <w:top w:val="none" w:sz="0" w:space="0" w:color="auto"/>
        <w:left w:val="none" w:sz="0" w:space="0" w:color="auto"/>
        <w:bottom w:val="none" w:sz="0" w:space="0" w:color="auto"/>
        <w:right w:val="none" w:sz="0" w:space="0" w:color="auto"/>
      </w:divBdr>
    </w:div>
    <w:div w:id="19102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ssoainformacao.gov.br/precedentes/MEC/IFMT/23480003592201475%20e%2023480006941201419%20ifmt.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1-2014/2012/decreto/d772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E4752955-03A4-4808-989E-3A53D6CB7F38}"/>
</file>

<file path=customXml/itemProps2.xml><?xml version="1.0" encoding="utf-8"?>
<ds:datastoreItem xmlns:ds="http://schemas.openxmlformats.org/officeDocument/2006/customXml" ds:itemID="{9DDB1172-9721-4A79-B10F-525F94BEEE7E}"/>
</file>

<file path=customXml/itemProps3.xml><?xml version="1.0" encoding="utf-8"?>
<ds:datastoreItem xmlns:ds="http://schemas.openxmlformats.org/officeDocument/2006/customXml" ds:itemID="{67EE7CF5-EE73-4F0A-A845-264C97044FC4}"/>
</file>

<file path=customXml/itemProps4.xml><?xml version="1.0" encoding="utf-8"?>
<ds:datastoreItem xmlns:ds="http://schemas.openxmlformats.org/officeDocument/2006/customXml" ds:itemID="{D4F95750-D03E-4B9C-AFBB-6BD2644FA49D}"/>
</file>

<file path=docProps/app.xml><?xml version="1.0" encoding="utf-8"?>
<Properties xmlns="http://schemas.openxmlformats.org/officeDocument/2006/extended-properties" xmlns:vt="http://schemas.openxmlformats.org/officeDocument/2006/docPropsVTypes">
  <Template>Normal</Template>
  <TotalTime>9</TotalTime>
  <Pages>6</Pages>
  <Words>2256</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De la Paz-Pérez Farca</dc:creator>
  <cp:lastModifiedBy>Rafael Antonio Dal Rosso</cp:lastModifiedBy>
  <cp:revision>10</cp:revision>
  <cp:lastPrinted>2015-03-17T16:28:00Z</cp:lastPrinted>
  <dcterms:created xsi:type="dcterms:W3CDTF">2015-06-08T22:02:00Z</dcterms:created>
  <dcterms:modified xsi:type="dcterms:W3CDTF">2015-06-08T22:11:00Z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