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344C" w14:textId="77777777" w:rsidR="009E2A68" w:rsidRPr="008F4832" w:rsidRDefault="00231614" w:rsidP="008F4832">
      <w:pPr>
        <w:pStyle w:val="Prrafodelista"/>
        <w:spacing w:after="0"/>
        <w:jc w:val="both"/>
        <w:rPr>
          <w:rFonts w:ascii="Arial" w:hAnsi="Arial" w:cs="Arial"/>
          <w:b/>
          <w:sz w:val="24"/>
          <w:szCs w:val="24"/>
        </w:rPr>
      </w:pPr>
      <w:r>
        <w:rPr>
          <w:rFonts w:ascii="Arial" w:hAnsi="Arial" w:cs="Arial"/>
          <w:b/>
          <w:sz w:val="24"/>
          <w:szCs w:val="24"/>
        </w:rPr>
        <w:tab/>
      </w: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69"/>
        <w:gridCol w:w="8447"/>
      </w:tblGrid>
      <w:tr w:rsidR="00882082" w:rsidRPr="008F4832" w14:paraId="6D1D0114" w14:textId="77777777"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2D41457" w14:textId="77777777" w:rsidR="00882082" w:rsidRPr="009E2A68" w:rsidRDefault="00E811C1" w:rsidP="008F4832">
            <w:pPr>
              <w:spacing w:line="276" w:lineRule="auto"/>
              <w:jc w:val="center"/>
              <w:rPr>
                <w:rFonts w:ascii="Arial" w:eastAsia="Times New Roman" w:hAnsi="Arial" w:cs="Arial"/>
                <w:iCs/>
                <w:smallCaps/>
                <w:sz w:val="24"/>
                <w:szCs w:val="24"/>
              </w:rPr>
            </w:pPr>
            <w:r w:rsidRPr="00E811C1">
              <w:rPr>
                <w:rFonts w:ascii="Arial" w:eastAsia="Times New Roman" w:hAnsi="Arial" w:cs="Arial"/>
                <w:iCs/>
                <w:smallCaps/>
                <w:sz w:val="24"/>
                <w:szCs w:val="24"/>
              </w:rPr>
              <w:t>Criterio Diferencial en el Derecho al Acceso a la Información Pública</w:t>
            </w:r>
          </w:p>
        </w:tc>
      </w:tr>
      <w:tr w:rsidR="00522F6E" w:rsidRPr="008F4832" w14:paraId="621E779F" w14:textId="77777777"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14:paraId="0CBF544E" w14:textId="77777777"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14:paraId="2311E784" w14:textId="77777777" w:rsidR="00486A8A" w:rsidRPr="007447C8" w:rsidRDefault="007447C8" w:rsidP="007447C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MX" w:eastAsia="es-ES"/>
              </w:rPr>
            </w:pPr>
            <w:r w:rsidRPr="007447C8">
              <w:rPr>
                <w:rFonts w:ascii="Arial" w:eastAsia="Times New Roman" w:hAnsi="Arial" w:cs="Arial"/>
                <w:b/>
                <w:sz w:val="24"/>
                <w:szCs w:val="24"/>
                <w:lang w:val="es-MX" w:eastAsia="es-ES"/>
              </w:rPr>
              <w:t>Chile</w:t>
            </w:r>
          </w:p>
          <w:p w14:paraId="00EB68C1" w14:textId="77777777" w:rsidR="007447C8" w:rsidRPr="009E2A68" w:rsidRDefault="007447C8" w:rsidP="007447C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7447C8">
              <w:rPr>
                <w:rFonts w:ascii="Arial" w:eastAsia="Times New Roman" w:hAnsi="Arial" w:cs="Arial"/>
                <w:b/>
                <w:sz w:val="24"/>
                <w:szCs w:val="24"/>
                <w:lang w:val="es-MX" w:eastAsia="es-ES"/>
              </w:rPr>
              <w:t>Consejo para la Transparencia</w:t>
            </w:r>
          </w:p>
        </w:tc>
      </w:tr>
      <w:tr w:rsidR="009E2A68" w:rsidRPr="008F4832" w14:paraId="6304523C"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45E001DA"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14:paraId="3DB3ED80" w14:textId="77777777" w:rsidR="009E2A68" w:rsidRPr="00A50B2B"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AAB1128" w14:textId="77777777" w:rsidR="00FF70CD" w:rsidRPr="00A50B2B" w:rsidRDefault="00FF70CD" w:rsidP="00A50B2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sz w:val="24"/>
                <w:szCs w:val="24"/>
                <w:lang w:val="es-MX" w:eastAsia="es-ES"/>
              </w:rPr>
              <w:t>En el marco normativo de su país ¿qué grupos son considerados vulnerables y/o minoritarios?</w:t>
            </w:r>
          </w:p>
          <w:p w14:paraId="4FBDF436" w14:textId="77777777" w:rsidR="00D65191" w:rsidRPr="00A50B2B" w:rsidRDefault="00D65191" w:rsidP="00A50B2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54E9CCD" w14:textId="77777777" w:rsidR="00396029" w:rsidRPr="00A50B2B" w:rsidRDefault="00D65191" w:rsidP="00A50B2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b/>
                <w:sz w:val="24"/>
                <w:szCs w:val="24"/>
                <w:u w:val="single"/>
                <w:lang w:val="es-MX" w:eastAsia="es-ES"/>
              </w:rPr>
              <w:t>Respuesta</w:t>
            </w:r>
            <w:r w:rsidRPr="00A50B2B">
              <w:rPr>
                <w:rFonts w:ascii="Arial" w:eastAsia="Times New Roman" w:hAnsi="Arial" w:cs="Arial"/>
                <w:b/>
                <w:sz w:val="24"/>
                <w:szCs w:val="24"/>
                <w:lang w:val="es-MX" w:eastAsia="es-ES"/>
              </w:rPr>
              <w:t>:</w:t>
            </w:r>
            <w:r w:rsidR="00540ADC" w:rsidRPr="00A50B2B">
              <w:rPr>
                <w:rFonts w:ascii="Arial" w:eastAsia="Times New Roman" w:hAnsi="Arial" w:cs="Arial"/>
                <w:b/>
                <w:sz w:val="24"/>
                <w:szCs w:val="24"/>
                <w:lang w:val="es-MX" w:eastAsia="es-ES"/>
              </w:rPr>
              <w:t xml:space="preserve"> </w:t>
            </w:r>
            <w:r w:rsidR="00396029" w:rsidRPr="00A50B2B">
              <w:rPr>
                <w:rFonts w:ascii="Arial" w:eastAsia="Times New Roman" w:hAnsi="Arial" w:cs="Arial"/>
                <w:sz w:val="24"/>
                <w:szCs w:val="24"/>
                <w:lang w:val="es-MX" w:eastAsia="es-ES"/>
              </w:rPr>
              <w:t>En esta lógica, existe legislación sectorial que ha definido a determinados grupos en particular:</w:t>
            </w:r>
          </w:p>
          <w:p w14:paraId="73E22E80" w14:textId="77777777" w:rsidR="005C7AAE" w:rsidRPr="00A50B2B" w:rsidRDefault="00396029" w:rsidP="00A50B2B">
            <w:pPr>
              <w:pStyle w:val="Prrafodelista"/>
              <w:numPr>
                <w:ilvl w:val="0"/>
                <w:numId w:val="6"/>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L" w:eastAsia="es-ES"/>
              </w:rPr>
            </w:pPr>
            <w:r w:rsidRPr="00A50B2B">
              <w:rPr>
                <w:rFonts w:ascii="Arial" w:eastAsia="Times New Roman" w:hAnsi="Arial" w:cs="Arial"/>
                <w:sz w:val="24"/>
                <w:szCs w:val="24"/>
                <w:lang w:val="es-MX" w:eastAsia="es-ES"/>
              </w:rPr>
              <w:t>Ley</w:t>
            </w:r>
            <w:r w:rsidR="005C7AAE" w:rsidRPr="00A50B2B">
              <w:rPr>
                <w:rFonts w:ascii="Arial" w:eastAsia="Times New Roman" w:hAnsi="Arial" w:cs="Arial"/>
                <w:sz w:val="24"/>
                <w:szCs w:val="24"/>
                <w:lang w:val="es-MX" w:eastAsia="es-ES"/>
              </w:rPr>
              <w:t xml:space="preserve"> N°</w:t>
            </w:r>
            <w:r w:rsidRPr="00A50B2B">
              <w:rPr>
                <w:rFonts w:ascii="Arial" w:eastAsia="Times New Roman" w:hAnsi="Arial" w:cs="Arial"/>
                <w:sz w:val="24"/>
                <w:szCs w:val="24"/>
                <w:lang w:val="es-MX" w:eastAsia="es-ES"/>
              </w:rPr>
              <w:t xml:space="preserve"> 20.422, que </w:t>
            </w:r>
            <w:r w:rsidRPr="00A50B2B">
              <w:rPr>
                <w:rFonts w:ascii="Arial" w:eastAsia="Times New Roman" w:hAnsi="Arial" w:cs="Arial"/>
                <w:sz w:val="24"/>
                <w:szCs w:val="24"/>
                <w:lang w:val="es-CL" w:eastAsia="es-ES"/>
              </w:rPr>
              <w:t xml:space="preserve">establece normas sobre igualdad de oportunidades e inclusión social de personas con discapacidad, dispone en su artículo 5°, que: </w:t>
            </w:r>
            <w:r w:rsidR="005C7AAE" w:rsidRPr="00A50B2B">
              <w:rPr>
                <w:rFonts w:ascii="Arial" w:eastAsia="Times New Roman" w:hAnsi="Arial" w:cs="Arial"/>
                <w:sz w:val="24"/>
                <w:szCs w:val="24"/>
                <w:lang w:val="es-CL" w:eastAsia="es-ES"/>
              </w:rPr>
              <w:t>“</w:t>
            </w:r>
            <w:r w:rsidR="005C7AAE" w:rsidRPr="00A50B2B">
              <w:rPr>
                <w:rFonts w:ascii="Arial" w:eastAsia="Times New Roman" w:hAnsi="Arial" w:cs="Arial"/>
                <w:i/>
                <w:sz w:val="24"/>
                <w:szCs w:val="24"/>
                <w:lang w:val="es-CL" w:eastAsia="es-ES"/>
              </w:rPr>
              <w:t>Persona con discapacidad es aquella que teniendo una o más deficiencias físicas, mentales, sea por causa psíquica o intelectual, o sensoriales, de carácter temporal o permanente, al interactuar con diversas barreras presentes en el entorno, ve impedida o restringida su participación plena y efectiva en la sociedad, en igualdad de condiciones con las demás</w:t>
            </w:r>
            <w:r w:rsidR="005C7AAE" w:rsidRPr="00A50B2B">
              <w:rPr>
                <w:rFonts w:ascii="Arial" w:eastAsia="Times New Roman" w:hAnsi="Arial" w:cs="Arial"/>
                <w:sz w:val="24"/>
                <w:szCs w:val="24"/>
                <w:lang w:val="es-CL" w:eastAsia="es-ES"/>
              </w:rPr>
              <w:t>”.</w:t>
            </w:r>
          </w:p>
          <w:p w14:paraId="471ED006" w14:textId="77777777" w:rsidR="00801EA9" w:rsidRPr="00A50B2B" w:rsidRDefault="005C7AAE" w:rsidP="00A50B2B">
            <w:pPr>
              <w:pStyle w:val="Prrafodelista"/>
              <w:numPr>
                <w:ilvl w:val="0"/>
                <w:numId w:val="6"/>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L" w:eastAsia="es-ES"/>
              </w:rPr>
            </w:pPr>
            <w:r w:rsidRPr="00A50B2B">
              <w:rPr>
                <w:rFonts w:ascii="Arial" w:eastAsia="Times New Roman" w:hAnsi="Arial" w:cs="Arial"/>
                <w:sz w:val="24"/>
                <w:szCs w:val="24"/>
                <w:lang w:val="es-CL" w:eastAsia="es-ES"/>
              </w:rPr>
              <w:t xml:space="preserve">Ley N° 19.253, que establece normas sobre protección, fomento y </w:t>
            </w:r>
            <w:r w:rsidRPr="00A50B2B">
              <w:rPr>
                <w:rFonts w:ascii="Arial" w:eastAsia="Times New Roman" w:hAnsi="Arial" w:cs="Arial"/>
                <w:sz w:val="24"/>
                <w:szCs w:val="24"/>
                <w:lang w:val="es-CL" w:eastAsia="es-ES"/>
              </w:rPr>
              <w:br/>
              <w:t xml:space="preserve">desarrollo de los indígenas, y crea la corporación </w:t>
            </w:r>
            <w:r w:rsidRPr="00A50B2B">
              <w:rPr>
                <w:rFonts w:ascii="Arial" w:eastAsia="Times New Roman" w:hAnsi="Arial" w:cs="Arial"/>
                <w:sz w:val="24"/>
                <w:szCs w:val="24"/>
                <w:lang w:val="es-CL" w:eastAsia="es-ES"/>
              </w:rPr>
              <w:br/>
              <w:t xml:space="preserve">nacional de desarrollo indígena, preceptúa </w:t>
            </w:r>
            <w:r w:rsidR="009D6852" w:rsidRPr="00A50B2B">
              <w:rPr>
                <w:rFonts w:ascii="Arial" w:eastAsia="Times New Roman" w:hAnsi="Arial" w:cs="Arial"/>
                <w:sz w:val="24"/>
                <w:szCs w:val="24"/>
                <w:lang w:val="es-CL" w:eastAsia="es-ES"/>
              </w:rPr>
              <w:t>en su artículo 1°, que: “</w:t>
            </w:r>
            <w:r w:rsidR="009D6852" w:rsidRPr="00A50B2B">
              <w:rPr>
                <w:rFonts w:ascii="Arial" w:eastAsia="Times New Roman" w:hAnsi="Arial" w:cs="Arial"/>
                <w:i/>
                <w:sz w:val="24"/>
                <w:szCs w:val="24"/>
                <w:lang w:val="es-CL" w:eastAsia="es-ES"/>
              </w:rPr>
              <w:t xml:space="preserve">El Estado reconoce que los indígenas </w:t>
            </w:r>
            <w:r w:rsidR="009D6852" w:rsidRPr="00A50B2B">
              <w:rPr>
                <w:rFonts w:ascii="Arial" w:eastAsia="Times New Roman" w:hAnsi="Arial" w:cs="Arial"/>
                <w:i/>
                <w:sz w:val="24"/>
                <w:szCs w:val="24"/>
                <w:lang w:val="es-CL" w:eastAsia="es-ES"/>
              </w:rPr>
              <w:br/>
              <w:t xml:space="preserve">de Chile son los descendientes de las agrupaciones </w:t>
            </w:r>
            <w:r w:rsidR="009D6852" w:rsidRPr="00A50B2B">
              <w:rPr>
                <w:rFonts w:ascii="Arial" w:eastAsia="Times New Roman" w:hAnsi="Arial" w:cs="Arial"/>
                <w:i/>
                <w:sz w:val="24"/>
                <w:szCs w:val="24"/>
                <w:lang w:val="es-CL" w:eastAsia="es-ES"/>
              </w:rPr>
              <w:br/>
              <w:t xml:space="preserve">humanas que existen en el territorio nacional desde </w:t>
            </w:r>
            <w:r w:rsidR="009D6852" w:rsidRPr="00A50B2B">
              <w:rPr>
                <w:rFonts w:ascii="Arial" w:eastAsia="Times New Roman" w:hAnsi="Arial" w:cs="Arial"/>
                <w:i/>
                <w:sz w:val="24"/>
                <w:szCs w:val="24"/>
                <w:lang w:val="es-CL" w:eastAsia="es-ES"/>
              </w:rPr>
              <w:br/>
              <w:t xml:space="preserve">tiempos precolombinos, que conservan manifestaciones </w:t>
            </w:r>
            <w:r w:rsidR="009D6852" w:rsidRPr="00A50B2B">
              <w:rPr>
                <w:rFonts w:ascii="Arial" w:eastAsia="Times New Roman" w:hAnsi="Arial" w:cs="Arial"/>
                <w:i/>
                <w:sz w:val="24"/>
                <w:szCs w:val="24"/>
                <w:lang w:val="es-CL" w:eastAsia="es-ES"/>
              </w:rPr>
              <w:br/>
              <w:t xml:space="preserve">étnicas y culturales propias siendo para ellos la tierra </w:t>
            </w:r>
            <w:r w:rsidR="009D6852" w:rsidRPr="00A50B2B">
              <w:rPr>
                <w:rFonts w:ascii="Arial" w:eastAsia="Times New Roman" w:hAnsi="Arial" w:cs="Arial"/>
                <w:i/>
                <w:sz w:val="24"/>
                <w:szCs w:val="24"/>
                <w:lang w:val="es-CL" w:eastAsia="es-ES"/>
              </w:rPr>
              <w:br/>
              <w:t>el fundamento principal de su existencia y cultura</w:t>
            </w:r>
            <w:r w:rsidR="009D6852" w:rsidRPr="00A50B2B">
              <w:rPr>
                <w:rFonts w:ascii="Arial" w:eastAsia="Times New Roman" w:hAnsi="Arial" w:cs="Arial"/>
                <w:sz w:val="24"/>
                <w:szCs w:val="24"/>
                <w:lang w:val="es-CL" w:eastAsia="es-ES"/>
              </w:rPr>
              <w:t xml:space="preserve">”. </w:t>
            </w:r>
            <w:r w:rsidR="00801EA9" w:rsidRPr="00A50B2B">
              <w:rPr>
                <w:rFonts w:ascii="Arial" w:eastAsia="Times New Roman" w:hAnsi="Arial" w:cs="Arial"/>
                <w:sz w:val="24"/>
                <w:szCs w:val="24"/>
                <w:lang w:val="es-CL" w:eastAsia="es-ES"/>
              </w:rPr>
              <w:t>El inciso 3°, dispone asimismo que: “</w:t>
            </w:r>
            <w:r w:rsidR="00801EA9" w:rsidRPr="00A50B2B">
              <w:rPr>
                <w:rFonts w:ascii="Arial" w:eastAsia="Times New Roman" w:hAnsi="Arial" w:cs="Arial"/>
                <w:i/>
                <w:sz w:val="24"/>
                <w:szCs w:val="24"/>
                <w:lang w:val="es-CL" w:eastAsia="es-ES"/>
              </w:rPr>
              <w:t xml:space="preserve">Es deber de la sociedad en general y del Estado en particular, a través de sus instituciones respetar, </w:t>
            </w:r>
            <w:r w:rsidR="00801EA9" w:rsidRPr="00A50B2B">
              <w:rPr>
                <w:rFonts w:ascii="Arial" w:eastAsia="Times New Roman" w:hAnsi="Arial" w:cs="Arial"/>
                <w:i/>
                <w:sz w:val="24"/>
                <w:szCs w:val="24"/>
                <w:lang w:val="es-CL" w:eastAsia="es-ES"/>
              </w:rPr>
              <w:br/>
              <w:t xml:space="preserve">proteger y promover el desarrollo de los indígenas, sus </w:t>
            </w:r>
            <w:r w:rsidR="00801EA9" w:rsidRPr="00A50B2B">
              <w:rPr>
                <w:rFonts w:ascii="Arial" w:eastAsia="Times New Roman" w:hAnsi="Arial" w:cs="Arial"/>
                <w:i/>
                <w:sz w:val="24"/>
                <w:szCs w:val="24"/>
                <w:lang w:val="es-CL" w:eastAsia="es-ES"/>
              </w:rPr>
              <w:br/>
              <w:t xml:space="preserve">culturas, familias y comunidades, adoptando las medidas </w:t>
            </w:r>
            <w:r w:rsidR="00801EA9" w:rsidRPr="00A50B2B">
              <w:rPr>
                <w:rFonts w:ascii="Arial" w:eastAsia="Times New Roman" w:hAnsi="Arial" w:cs="Arial"/>
                <w:i/>
                <w:sz w:val="24"/>
                <w:szCs w:val="24"/>
                <w:lang w:val="es-CL" w:eastAsia="es-ES"/>
              </w:rPr>
              <w:br/>
              <w:t xml:space="preserve">adecuadas para tales fines y proteger las tierras </w:t>
            </w:r>
            <w:r w:rsidR="00801EA9" w:rsidRPr="00A50B2B">
              <w:rPr>
                <w:rFonts w:ascii="Arial" w:eastAsia="Times New Roman" w:hAnsi="Arial" w:cs="Arial"/>
                <w:i/>
                <w:sz w:val="24"/>
                <w:szCs w:val="24"/>
                <w:lang w:val="es-CL" w:eastAsia="es-ES"/>
              </w:rPr>
              <w:br/>
              <w:t xml:space="preserve">indígenas, velar por su adecuada explotación, por su </w:t>
            </w:r>
            <w:r w:rsidR="00801EA9" w:rsidRPr="00A50B2B">
              <w:rPr>
                <w:rFonts w:ascii="Arial" w:eastAsia="Times New Roman" w:hAnsi="Arial" w:cs="Arial"/>
                <w:i/>
                <w:sz w:val="24"/>
                <w:szCs w:val="24"/>
                <w:lang w:val="es-CL" w:eastAsia="es-ES"/>
              </w:rPr>
              <w:br/>
              <w:t>equilibrio ecológico y propender a su ampliación</w:t>
            </w:r>
            <w:r w:rsidR="00801EA9" w:rsidRPr="00A50B2B">
              <w:rPr>
                <w:rFonts w:ascii="Arial" w:eastAsia="Times New Roman" w:hAnsi="Arial" w:cs="Arial"/>
                <w:sz w:val="24"/>
                <w:szCs w:val="24"/>
                <w:lang w:val="es-CL" w:eastAsia="es-ES"/>
              </w:rPr>
              <w:t>”.</w:t>
            </w:r>
          </w:p>
          <w:p w14:paraId="041F42D6" w14:textId="77777777" w:rsidR="00396029" w:rsidRPr="00A50B2B" w:rsidRDefault="00396029" w:rsidP="00A306C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L" w:eastAsia="es-ES"/>
              </w:rPr>
            </w:pPr>
          </w:p>
          <w:p w14:paraId="3E53B840" w14:textId="77777777" w:rsidR="00FF70CD" w:rsidRDefault="00FF70CD"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CD0450B" w14:textId="77777777" w:rsidR="00A50B2B" w:rsidRDefault="00A50B2B"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CF59003" w14:textId="77777777" w:rsidR="00A50B2B" w:rsidRPr="00A50B2B" w:rsidRDefault="00A50B2B"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3A294D7" w14:textId="77777777" w:rsidR="009E2A68" w:rsidRPr="00A50B2B" w:rsidRDefault="00FF70CD" w:rsidP="00A50B2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sz w:val="24"/>
                <w:szCs w:val="24"/>
                <w:lang w:val="es-MX" w:eastAsia="es-ES"/>
              </w:rPr>
              <w:lastRenderedPageBreak/>
              <w:t xml:space="preserve">¿Su legislación contempla alguna disposición en la que se determine que </w:t>
            </w:r>
            <w:r w:rsidRPr="00A50B2B">
              <w:rPr>
                <w:rFonts w:ascii="Arial" w:eastAsia="Times New Roman" w:hAnsi="Arial" w:cs="Arial"/>
                <w:b/>
                <w:sz w:val="24"/>
                <w:szCs w:val="24"/>
                <w:lang w:val="es-MX" w:eastAsia="es-ES"/>
              </w:rPr>
              <w:t>el órgano garante</w:t>
            </w:r>
            <w:r w:rsidRPr="00A50B2B">
              <w:rPr>
                <w:rFonts w:ascii="Arial" w:eastAsia="Times New Roman" w:hAnsi="Arial" w:cs="Arial"/>
                <w:sz w:val="24"/>
                <w:szCs w:val="24"/>
                <w:lang w:val="es-MX" w:eastAsia="es-ES"/>
              </w:rPr>
              <w:t xml:space="preserve"> </w:t>
            </w:r>
            <w:r w:rsidR="007F326D" w:rsidRPr="00A50B2B">
              <w:rPr>
                <w:rFonts w:ascii="Arial" w:eastAsia="Times New Roman" w:hAnsi="Arial" w:cs="Arial"/>
                <w:sz w:val="24"/>
                <w:szCs w:val="24"/>
                <w:lang w:val="es-MX" w:eastAsia="es-ES"/>
              </w:rPr>
              <w:t xml:space="preserve">(o institución) </w:t>
            </w:r>
            <w:r w:rsidRPr="00A50B2B">
              <w:rPr>
                <w:rFonts w:ascii="Arial" w:eastAsia="Times New Roman" w:hAnsi="Arial" w:cs="Arial"/>
                <w:sz w:val="24"/>
                <w:szCs w:val="24"/>
                <w:lang w:val="es-MX" w:eastAsia="es-ES"/>
              </w:rPr>
              <w:t xml:space="preserve">tiene el deber de </w:t>
            </w:r>
            <w:r w:rsidRPr="00A50B2B">
              <w:rPr>
                <w:rFonts w:ascii="Arial" w:eastAsia="Times New Roman" w:hAnsi="Arial" w:cs="Arial"/>
                <w:sz w:val="24"/>
                <w:szCs w:val="24"/>
                <w:lang w:eastAsia="es-ES"/>
              </w:rPr>
              <w:t>promover e implementar acciones para garantizar condiciones de accesibilidad para que los grupos vulnerables puedan ejercer, en igualdad de condiciones, el derecho de acceso a la información</w:t>
            </w:r>
            <w:r w:rsidRPr="00A50B2B">
              <w:rPr>
                <w:rFonts w:ascii="Arial" w:eastAsia="Times New Roman" w:hAnsi="Arial" w:cs="Arial"/>
                <w:sz w:val="24"/>
                <w:szCs w:val="24"/>
                <w:lang w:val="es-MX" w:eastAsia="es-ES"/>
              </w:rPr>
              <w:t>? De ser el caso, por favor cite el artículo en cuestión.</w:t>
            </w:r>
          </w:p>
          <w:p w14:paraId="0F34B61A" w14:textId="77777777" w:rsidR="009D1723" w:rsidRPr="00A50B2B" w:rsidRDefault="009D1723" w:rsidP="00A50B2B">
            <w:pPr>
              <w:pStyle w:val="Prrafodelista"/>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43ACD8C" w14:textId="77777777" w:rsidR="00A86955" w:rsidRPr="00A50B2B" w:rsidRDefault="009D1723" w:rsidP="00A50B2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b/>
                <w:sz w:val="24"/>
                <w:szCs w:val="24"/>
                <w:u w:val="single"/>
                <w:lang w:val="es-MX" w:eastAsia="es-ES"/>
              </w:rPr>
              <w:t>Respuesta</w:t>
            </w:r>
            <w:r w:rsidRPr="00A50B2B">
              <w:rPr>
                <w:rFonts w:ascii="Arial" w:eastAsia="Times New Roman" w:hAnsi="Arial" w:cs="Arial"/>
                <w:b/>
                <w:sz w:val="24"/>
                <w:szCs w:val="24"/>
                <w:lang w:val="es-MX" w:eastAsia="es-ES"/>
              </w:rPr>
              <w:t>:</w:t>
            </w:r>
            <w:r w:rsidR="00A306CD" w:rsidRPr="00A50B2B">
              <w:rPr>
                <w:rFonts w:ascii="Arial" w:eastAsia="Times New Roman" w:hAnsi="Arial" w:cs="Arial"/>
                <w:b/>
                <w:sz w:val="24"/>
                <w:szCs w:val="24"/>
                <w:lang w:val="es-MX" w:eastAsia="es-ES"/>
              </w:rPr>
              <w:t xml:space="preserve"> </w:t>
            </w:r>
            <w:r w:rsidR="00A86955" w:rsidRPr="00A50B2B">
              <w:rPr>
                <w:rFonts w:ascii="Arial" w:eastAsia="Times New Roman" w:hAnsi="Arial" w:cs="Arial"/>
                <w:sz w:val="24"/>
                <w:szCs w:val="24"/>
                <w:lang w:val="es-MX" w:eastAsia="es-ES"/>
              </w:rPr>
              <w:t>El Consejo para la Transparencia –en adelante e indistintamente “el Consejo”-, en virtud del artículo 33</w:t>
            </w:r>
            <w:r w:rsidR="00C36226">
              <w:rPr>
                <w:rFonts w:ascii="Arial" w:eastAsia="Times New Roman" w:hAnsi="Arial" w:cs="Arial"/>
                <w:sz w:val="24"/>
                <w:szCs w:val="24"/>
                <w:lang w:val="es-MX" w:eastAsia="es-ES"/>
              </w:rPr>
              <w:t>,</w:t>
            </w:r>
            <w:r w:rsidR="00A86955" w:rsidRPr="00A50B2B">
              <w:rPr>
                <w:rFonts w:ascii="Arial" w:eastAsia="Times New Roman" w:hAnsi="Arial" w:cs="Arial"/>
                <w:sz w:val="24"/>
                <w:szCs w:val="24"/>
                <w:lang w:val="es-MX" w:eastAsia="es-ES"/>
              </w:rPr>
              <w:t xml:space="preserve"> letra d), de la ley N° 20.285, tiene entre otras facultades, la de dictar instrucciones generales para el cumplimiento de la legislación sobre transparencia y acceso a la información por parte de los órganos de la Administración del Estado, y requerir a estos para que ajusten sus procedimientos y sistemas de atención de público a dicha legislación.</w:t>
            </w:r>
          </w:p>
          <w:p w14:paraId="0EEC665A" w14:textId="77777777" w:rsidR="00A831CF" w:rsidRPr="00A50B2B" w:rsidRDefault="00A86955" w:rsidP="00A50B2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A50B2B">
              <w:rPr>
                <w:rFonts w:ascii="Arial" w:eastAsia="Times New Roman" w:hAnsi="Arial" w:cs="Arial"/>
                <w:sz w:val="24"/>
                <w:szCs w:val="24"/>
                <w:lang w:val="es-MX" w:eastAsia="es-ES"/>
              </w:rPr>
              <w:t xml:space="preserve">En este contexto, en la instrucción general N° 10, sobre </w:t>
            </w:r>
            <w:r w:rsidR="00A831CF" w:rsidRPr="00A50B2B">
              <w:rPr>
                <w:rFonts w:ascii="Arial" w:eastAsia="Times New Roman" w:hAnsi="Arial" w:cs="Arial"/>
                <w:sz w:val="24"/>
                <w:szCs w:val="24"/>
                <w:lang w:eastAsia="es-ES"/>
              </w:rPr>
              <w:t xml:space="preserve">el </w:t>
            </w:r>
            <w:r w:rsidRPr="00A50B2B">
              <w:rPr>
                <w:rFonts w:ascii="Arial" w:eastAsia="Times New Roman" w:hAnsi="Arial" w:cs="Arial"/>
                <w:sz w:val="24"/>
                <w:szCs w:val="24"/>
                <w:lang w:eastAsia="es-ES"/>
              </w:rPr>
              <w:t>procedimiento administrativo de acceso a la información, estableció</w:t>
            </w:r>
            <w:r w:rsidR="00A831CF" w:rsidRPr="00A50B2B">
              <w:rPr>
                <w:rFonts w:ascii="Arial" w:eastAsia="Times New Roman" w:hAnsi="Arial" w:cs="Arial"/>
                <w:sz w:val="24"/>
                <w:szCs w:val="24"/>
                <w:lang w:eastAsia="es-ES"/>
              </w:rPr>
              <w:t xml:space="preserve"> en su punto número 10, el “</w:t>
            </w:r>
            <w:r w:rsidRPr="00A50B2B">
              <w:rPr>
                <w:rFonts w:ascii="Arial" w:eastAsia="Times New Roman" w:hAnsi="Arial" w:cs="Arial"/>
                <w:sz w:val="24"/>
                <w:szCs w:val="24"/>
                <w:lang w:eastAsia="es-ES"/>
              </w:rPr>
              <w:t>Principio de accesibilidad universal de personas con discapacidad y el procedimiento administrativo de acceso a la información</w:t>
            </w:r>
            <w:r w:rsidR="00A831CF" w:rsidRPr="00A50B2B">
              <w:rPr>
                <w:rFonts w:ascii="Arial" w:eastAsia="Times New Roman" w:hAnsi="Arial" w:cs="Arial"/>
                <w:sz w:val="24"/>
                <w:szCs w:val="24"/>
                <w:lang w:eastAsia="es-ES"/>
              </w:rPr>
              <w:t>”</w:t>
            </w:r>
            <w:r w:rsidRPr="00A50B2B">
              <w:rPr>
                <w:rFonts w:ascii="Arial" w:eastAsia="Times New Roman" w:hAnsi="Arial" w:cs="Arial"/>
                <w:sz w:val="24"/>
                <w:szCs w:val="24"/>
                <w:lang w:eastAsia="es-ES"/>
              </w:rPr>
              <w:t>.</w:t>
            </w:r>
          </w:p>
          <w:p w14:paraId="1E1F5327" w14:textId="77777777" w:rsidR="0045095B" w:rsidRPr="0045095B" w:rsidRDefault="00A831CF" w:rsidP="0045095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A50B2B">
              <w:rPr>
                <w:rFonts w:ascii="Arial" w:eastAsia="Times New Roman" w:hAnsi="Arial" w:cs="Arial"/>
                <w:sz w:val="24"/>
                <w:szCs w:val="24"/>
                <w:lang w:eastAsia="es-ES"/>
              </w:rPr>
              <w:t xml:space="preserve">En este párrafo, </w:t>
            </w:r>
            <w:r w:rsidR="00344C88" w:rsidRPr="00A50B2B">
              <w:rPr>
                <w:rFonts w:ascii="Arial" w:eastAsia="Times New Roman" w:hAnsi="Arial" w:cs="Arial"/>
                <w:sz w:val="24"/>
                <w:szCs w:val="24"/>
                <w:lang w:eastAsia="es-ES"/>
              </w:rPr>
              <w:t>se dispuso que:</w:t>
            </w:r>
            <w:r w:rsidR="00344C88" w:rsidRPr="00A50B2B">
              <w:t xml:space="preserve"> </w:t>
            </w:r>
            <w:r w:rsidR="00577080" w:rsidRPr="00A50B2B">
              <w:t>“</w:t>
            </w:r>
            <w:r w:rsidR="00344C88" w:rsidRPr="00A50B2B">
              <w:rPr>
                <w:rFonts w:ascii="Arial" w:eastAsia="Times New Roman" w:hAnsi="Arial" w:cs="Arial"/>
                <w:i/>
                <w:sz w:val="24"/>
                <w:szCs w:val="24"/>
                <w:lang w:eastAsia="es-ES"/>
              </w:rPr>
              <w:t>En virtud del principio de accesibilidad universal contemplado en la Ley N° 20.422, se deberá facilitar el ejercicio del derecho de acceso a la información por parte de las personas con discapacidad, efectuando los ajustes necesarios para la presentación de solicitudes, tramitación del procedimiento y entrega de la información, en función de las carencias específicas de dichas personas, con la finalidad de fomentar el acceso y participación en igualdad de condiciones que el resto de los ciudadanos. Se deberán tener en especial consideración las normas que se dicten por los organismos competentes en esta materia que busquen garantizar la accesibilidad universal. En especial, respecto del sistema electrónico de acceso a la información se tendrá como referencia la Guía de Accesibilidad para discapacitados en sitios web, del Comité de Normas para el Documento Electrónico, de diciembre de 2006 y sus posteriores ediciones</w:t>
            </w:r>
            <w:r w:rsidR="00577080" w:rsidRPr="00A50B2B">
              <w:rPr>
                <w:rFonts w:ascii="Arial" w:eastAsia="Times New Roman" w:hAnsi="Arial" w:cs="Arial"/>
                <w:sz w:val="24"/>
                <w:szCs w:val="24"/>
                <w:lang w:eastAsia="es-ES"/>
              </w:rPr>
              <w:t>”</w:t>
            </w:r>
            <w:r w:rsidR="00344C88" w:rsidRPr="00A50B2B">
              <w:rPr>
                <w:rFonts w:ascii="Arial" w:eastAsia="Times New Roman" w:hAnsi="Arial" w:cs="Arial"/>
                <w:sz w:val="24"/>
                <w:szCs w:val="24"/>
                <w:lang w:eastAsia="es-ES"/>
              </w:rPr>
              <w:t>.</w:t>
            </w:r>
          </w:p>
          <w:p w14:paraId="32C5CB72" w14:textId="77777777" w:rsidR="0045095B" w:rsidRPr="00A50B2B" w:rsidRDefault="0045095B" w:rsidP="00A50B2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91AAACE" w14:textId="77777777" w:rsidR="00A369E9" w:rsidRPr="00A50B2B" w:rsidRDefault="00A369E9" w:rsidP="0045095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sz w:val="24"/>
                <w:szCs w:val="24"/>
                <w:lang w:val="es-MX" w:eastAsia="es-ES"/>
              </w:rPr>
              <w:t>¿En las resoluciones que son expedidas por el órgano garante, se toma en consideración si el solicitante forma parte de algún grupo minoritario?</w:t>
            </w:r>
          </w:p>
          <w:p w14:paraId="3F178B3C" w14:textId="77777777" w:rsidR="009D1723" w:rsidRPr="00A50B2B" w:rsidRDefault="009D1723" w:rsidP="0045095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54553F1" w14:textId="77777777" w:rsidR="00F75691" w:rsidRPr="00A50B2B" w:rsidRDefault="009D1723" w:rsidP="0045095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b/>
                <w:sz w:val="24"/>
                <w:szCs w:val="24"/>
                <w:u w:val="single"/>
                <w:lang w:val="es-MX" w:eastAsia="es-ES"/>
              </w:rPr>
              <w:t>Respuesta</w:t>
            </w:r>
            <w:r w:rsidRPr="00A50B2B">
              <w:rPr>
                <w:rFonts w:ascii="Arial" w:eastAsia="Times New Roman" w:hAnsi="Arial" w:cs="Arial"/>
                <w:b/>
                <w:sz w:val="24"/>
                <w:szCs w:val="24"/>
                <w:lang w:val="es-MX" w:eastAsia="es-ES"/>
              </w:rPr>
              <w:t>:</w:t>
            </w:r>
            <w:r w:rsidR="00A1130F" w:rsidRPr="00A50B2B">
              <w:rPr>
                <w:rFonts w:ascii="Arial" w:eastAsia="Times New Roman" w:hAnsi="Arial" w:cs="Arial"/>
                <w:b/>
                <w:sz w:val="24"/>
                <w:szCs w:val="24"/>
                <w:lang w:val="es-MX" w:eastAsia="es-ES"/>
              </w:rPr>
              <w:t xml:space="preserve"> </w:t>
            </w:r>
            <w:r w:rsidR="00A369CD" w:rsidRPr="00A50B2B">
              <w:rPr>
                <w:rFonts w:ascii="Arial" w:eastAsia="Times New Roman" w:hAnsi="Arial" w:cs="Arial"/>
                <w:sz w:val="24"/>
                <w:szCs w:val="24"/>
                <w:lang w:val="es-MX" w:eastAsia="es-ES"/>
              </w:rPr>
              <w:t>Sí, en la medida que no signifique una vulneración al principio de</w:t>
            </w:r>
            <w:r w:rsidR="00F75691" w:rsidRPr="00A50B2B">
              <w:rPr>
                <w:rFonts w:ascii="Arial" w:eastAsia="Times New Roman" w:hAnsi="Arial" w:cs="Arial"/>
                <w:sz w:val="24"/>
                <w:szCs w:val="24"/>
                <w:lang w:val="es-MX" w:eastAsia="es-ES"/>
              </w:rPr>
              <w:t xml:space="preserve"> no discriminación, en virtud del cual</w:t>
            </w:r>
            <w:r w:rsidR="009135C2" w:rsidRPr="00A50B2B">
              <w:rPr>
                <w:rFonts w:ascii="Arial" w:eastAsia="Times New Roman" w:hAnsi="Arial" w:cs="Arial"/>
                <w:sz w:val="24"/>
                <w:szCs w:val="24"/>
                <w:lang w:val="es-MX" w:eastAsia="es-ES"/>
              </w:rPr>
              <w:t xml:space="preserve"> “</w:t>
            </w:r>
            <w:r w:rsidR="00F75691" w:rsidRPr="00A50B2B">
              <w:rPr>
                <w:rFonts w:ascii="Arial" w:eastAsia="Times New Roman" w:hAnsi="Arial" w:cs="Arial"/>
                <w:i/>
                <w:sz w:val="24"/>
                <w:szCs w:val="24"/>
                <w:lang w:val="es-CL" w:eastAsia="es-ES"/>
              </w:rPr>
              <w:t>los órganos de la Administración del Estado deberán entregar información a todas las personas que lo soliciten, en igualdad de condiciones, sin hacer distinciones arbitrarias y sin exigir expresión de causa o motivo para la solicitud</w:t>
            </w:r>
            <w:r w:rsidR="009135C2" w:rsidRPr="00A50B2B">
              <w:rPr>
                <w:rFonts w:ascii="Arial" w:eastAsia="Times New Roman" w:hAnsi="Arial" w:cs="Arial"/>
                <w:b/>
                <w:sz w:val="24"/>
                <w:szCs w:val="24"/>
                <w:lang w:val="es-CL" w:eastAsia="es-ES"/>
              </w:rPr>
              <w:t>”.</w:t>
            </w:r>
          </w:p>
          <w:p w14:paraId="4FB2018B" w14:textId="77777777" w:rsidR="00A369E9" w:rsidRPr="00A50B2B" w:rsidRDefault="00A369E9" w:rsidP="0045095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AF205CA" w14:textId="77777777" w:rsidR="009D1723" w:rsidRPr="0045095B" w:rsidRDefault="00A369E9" w:rsidP="0045095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sz w:val="24"/>
                <w:szCs w:val="24"/>
                <w:lang w:val="es-MX" w:eastAsia="es-ES"/>
              </w:rPr>
              <w:t>En caso de que haya contestado de manera afirmativa la pregunta anterior, ¿c</w:t>
            </w:r>
            <w:r w:rsidR="008972E8" w:rsidRPr="00A50B2B">
              <w:rPr>
                <w:rFonts w:ascii="Arial" w:eastAsia="Times New Roman" w:hAnsi="Arial" w:cs="Arial"/>
                <w:sz w:val="24"/>
                <w:szCs w:val="24"/>
                <w:lang w:val="es-MX" w:eastAsia="es-ES"/>
              </w:rPr>
              <w:t>ómo se resguarda el derecho de acceso a la información de dicho solicitante?</w:t>
            </w:r>
          </w:p>
          <w:p w14:paraId="31D4FD7C" w14:textId="77777777" w:rsidR="00C97855" w:rsidRPr="0045095B" w:rsidRDefault="009D1723" w:rsidP="0045095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b/>
                <w:sz w:val="24"/>
                <w:szCs w:val="24"/>
                <w:u w:val="single"/>
                <w:lang w:val="es-MX" w:eastAsia="es-ES"/>
              </w:rPr>
              <w:t>Respuesta</w:t>
            </w:r>
            <w:r w:rsidRPr="00A50B2B">
              <w:rPr>
                <w:rFonts w:ascii="Arial" w:eastAsia="Times New Roman" w:hAnsi="Arial" w:cs="Arial"/>
                <w:b/>
                <w:sz w:val="24"/>
                <w:szCs w:val="24"/>
                <w:lang w:val="es-MX" w:eastAsia="es-ES"/>
              </w:rPr>
              <w:t>:</w:t>
            </w:r>
            <w:r w:rsidR="00A1130F" w:rsidRPr="00A50B2B">
              <w:rPr>
                <w:rFonts w:ascii="Arial" w:eastAsia="Times New Roman" w:hAnsi="Arial" w:cs="Arial"/>
                <w:b/>
                <w:sz w:val="24"/>
                <w:szCs w:val="24"/>
                <w:lang w:val="es-MX" w:eastAsia="es-ES"/>
              </w:rPr>
              <w:t xml:space="preserve"> </w:t>
            </w:r>
            <w:r w:rsidR="009135C2" w:rsidRPr="00A50B2B">
              <w:rPr>
                <w:rFonts w:ascii="Arial" w:eastAsia="Times New Roman" w:hAnsi="Arial" w:cs="Arial"/>
                <w:sz w:val="24"/>
                <w:szCs w:val="24"/>
                <w:lang w:val="es-MX" w:eastAsia="es-ES"/>
              </w:rPr>
              <w:t>Por ejemplo</w:t>
            </w:r>
            <w:r w:rsidR="00F90E3D">
              <w:rPr>
                <w:rFonts w:ascii="Arial" w:eastAsia="Times New Roman" w:hAnsi="Arial" w:cs="Arial"/>
                <w:sz w:val="24"/>
                <w:szCs w:val="24"/>
                <w:lang w:val="es-MX" w:eastAsia="es-ES"/>
              </w:rPr>
              <w:t>,</w:t>
            </w:r>
            <w:r w:rsidR="009135C2" w:rsidRPr="00A50B2B">
              <w:rPr>
                <w:rFonts w:ascii="Arial" w:eastAsia="Times New Roman" w:hAnsi="Arial" w:cs="Arial"/>
                <w:sz w:val="24"/>
                <w:szCs w:val="24"/>
                <w:lang w:val="es-MX" w:eastAsia="es-ES"/>
              </w:rPr>
              <w:t xml:space="preserve"> en la decisión que recayó en el amparo Rol N°</w:t>
            </w:r>
            <w:r w:rsidR="009135C2" w:rsidRPr="00A50B2B">
              <w:rPr>
                <w:rFonts w:ascii="Arial" w:hAnsi="Arial" w:cs="Arial"/>
                <w:bCs/>
                <w:color w:val="2C6F98"/>
              </w:rPr>
              <w:t xml:space="preserve"> </w:t>
            </w:r>
            <w:r w:rsidR="009135C2" w:rsidRPr="00A50B2B">
              <w:rPr>
                <w:rFonts w:ascii="Arial" w:eastAsia="Times New Roman" w:hAnsi="Arial" w:cs="Arial"/>
                <w:bCs/>
                <w:sz w:val="24"/>
                <w:szCs w:val="24"/>
                <w:lang w:eastAsia="es-ES"/>
              </w:rPr>
              <w:t>A255-09,</w:t>
            </w:r>
            <w:r w:rsidR="003043EF" w:rsidRPr="00A50B2B">
              <w:rPr>
                <w:rFonts w:ascii="Arial" w:eastAsia="Times New Roman" w:hAnsi="Arial" w:cs="Arial"/>
                <w:bCs/>
                <w:sz w:val="24"/>
                <w:szCs w:val="24"/>
                <w:lang w:eastAsia="es-ES"/>
              </w:rPr>
              <w:t xml:space="preserve"> una persona solicitó</w:t>
            </w:r>
            <w:r w:rsidR="00F90E3D">
              <w:rPr>
                <w:rFonts w:ascii="Arial" w:eastAsia="Times New Roman" w:hAnsi="Arial" w:cs="Arial"/>
                <w:bCs/>
                <w:sz w:val="24"/>
                <w:szCs w:val="24"/>
                <w:lang w:eastAsia="es-ES"/>
              </w:rPr>
              <w:t>,</w:t>
            </w:r>
            <w:r w:rsidR="003043EF" w:rsidRPr="00A50B2B">
              <w:rPr>
                <w:rFonts w:ascii="Arial" w:eastAsia="Times New Roman" w:hAnsi="Arial" w:cs="Arial"/>
                <w:bCs/>
                <w:sz w:val="24"/>
                <w:szCs w:val="24"/>
                <w:lang w:eastAsia="es-ES"/>
              </w:rPr>
              <w:t xml:space="preserve"> entre otras cosas, </w:t>
            </w:r>
            <w:r w:rsidR="003043EF" w:rsidRPr="00A50B2B">
              <w:rPr>
                <w:rFonts w:ascii="Arial" w:eastAsia="Times New Roman" w:hAnsi="Arial" w:cs="Arial"/>
                <w:sz w:val="24"/>
                <w:szCs w:val="24"/>
                <w:lang w:eastAsia="es-ES"/>
              </w:rPr>
              <w:t>copia de todos los actos y resoluciones, los fundamentos y los documentos que sirvieron o han servido de sustento en la tramitación de los casos de demandas de tierras de las comunidades</w:t>
            </w:r>
            <w:r w:rsidR="00EB6623" w:rsidRPr="00A50B2B">
              <w:rPr>
                <w:rFonts w:ascii="Arial" w:eastAsia="Times New Roman" w:hAnsi="Arial" w:cs="Arial"/>
                <w:sz w:val="24"/>
                <w:szCs w:val="24"/>
                <w:lang w:eastAsia="es-ES"/>
              </w:rPr>
              <w:t xml:space="preserve"> indígenas</w:t>
            </w:r>
            <w:r w:rsidR="003043EF" w:rsidRPr="00A50B2B">
              <w:rPr>
                <w:rFonts w:ascii="Arial" w:eastAsia="Times New Roman" w:hAnsi="Arial" w:cs="Arial"/>
                <w:sz w:val="24"/>
                <w:szCs w:val="24"/>
                <w:lang w:eastAsia="es-ES"/>
              </w:rPr>
              <w:t xml:space="preserve"> que representa (Temulemu y Didaico), así como también los procedimientos utilizados para su dictación</w:t>
            </w:r>
            <w:r w:rsidR="00C97855" w:rsidRPr="00A50B2B">
              <w:rPr>
                <w:rFonts w:ascii="Arial" w:eastAsia="Times New Roman" w:hAnsi="Arial" w:cs="Arial"/>
                <w:sz w:val="24"/>
                <w:szCs w:val="24"/>
                <w:lang w:eastAsia="es-ES"/>
              </w:rPr>
              <w:t>.</w:t>
            </w:r>
          </w:p>
          <w:p w14:paraId="530D557D" w14:textId="77777777" w:rsidR="00C97855" w:rsidRPr="0045095B" w:rsidRDefault="00C97855" w:rsidP="0045095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CL" w:eastAsia="es-ES"/>
              </w:rPr>
            </w:pPr>
            <w:r w:rsidRPr="00A50B2B">
              <w:rPr>
                <w:rFonts w:ascii="Arial" w:eastAsia="Times New Roman" w:hAnsi="Arial" w:cs="Arial"/>
                <w:sz w:val="24"/>
                <w:szCs w:val="24"/>
                <w:lang w:eastAsia="es-ES"/>
              </w:rPr>
              <w:t xml:space="preserve">En este caso, el órgano alegó la causal de reserva del artículo 21 N° 1, letra b), de la Ley de Transparencia: </w:t>
            </w:r>
            <w:r w:rsidRPr="00A50B2B">
              <w:rPr>
                <w:rFonts w:ascii="Arial" w:eastAsia="Times New Roman" w:hAnsi="Arial" w:cs="Arial"/>
                <w:bCs/>
                <w:sz w:val="24"/>
                <w:szCs w:val="24"/>
                <w:lang w:val="es-CL" w:eastAsia="es-ES"/>
              </w:rPr>
              <w:t>“</w:t>
            </w:r>
            <w:r w:rsidRPr="00A50B2B">
              <w:rPr>
                <w:rFonts w:ascii="Arial" w:eastAsia="Times New Roman" w:hAnsi="Arial" w:cs="Arial"/>
                <w:bCs/>
                <w:i/>
                <w:sz w:val="24"/>
                <w:szCs w:val="24"/>
                <w:lang w:val="es-CL" w:eastAsia="es-ES"/>
              </w:rPr>
              <w:t>Cuando su publicidad, comunicación o conocimiento afecte el debido cumplimiento de las funciones del órgano requerido, particularmente: b) Tratándose de antecedentes o deliberaciones previas a la adopción de una resolución, medida o política, sin perjuicio que los fundamentos de aquéllas sean públicos una vez que sean adoptadas</w:t>
            </w:r>
            <w:r w:rsidRPr="00A50B2B">
              <w:rPr>
                <w:rFonts w:ascii="Arial" w:eastAsia="Times New Roman" w:hAnsi="Arial" w:cs="Arial"/>
                <w:bCs/>
                <w:sz w:val="24"/>
                <w:szCs w:val="24"/>
                <w:lang w:val="es-CL" w:eastAsia="es-ES"/>
              </w:rPr>
              <w:t>”.</w:t>
            </w:r>
          </w:p>
          <w:p w14:paraId="41957546" w14:textId="77777777" w:rsidR="009D1723" w:rsidRPr="00A50B2B" w:rsidRDefault="002D1126" w:rsidP="0045095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CL" w:eastAsia="es-ES"/>
              </w:rPr>
            </w:pPr>
            <w:r w:rsidRPr="00A50B2B">
              <w:rPr>
                <w:rFonts w:ascii="Arial" w:eastAsia="Times New Roman" w:hAnsi="Arial" w:cs="Arial"/>
                <w:bCs/>
                <w:sz w:val="24"/>
                <w:szCs w:val="24"/>
                <w:lang w:val="es-CL" w:eastAsia="es-ES"/>
              </w:rPr>
              <w:t xml:space="preserve">El Consejo, ordenó la entrega de lo solicitado, entre otras razones, debido a que </w:t>
            </w:r>
            <w:r w:rsidR="00EB6623" w:rsidRPr="00A50B2B">
              <w:rPr>
                <w:rFonts w:ascii="Arial" w:eastAsia="Times New Roman" w:hAnsi="Arial" w:cs="Arial"/>
                <w:bCs/>
                <w:sz w:val="24"/>
                <w:szCs w:val="24"/>
                <w:lang w:val="es-CL" w:eastAsia="es-ES"/>
              </w:rPr>
              <w:t>“</w:t>
            </w:r>
            <w:r w:rsidR="00EB6623" w:rsidRPr="00A50B2B">
              <w:rPr>
                <w:rFonts w:ascii="Arial" w:eastAsia="Times New Roman" w:hAnsi="Arial" w:cs="Arial"/>
                <w:bCs/>
                <w:i/>
                <w:sz w:val="24"/>
                <w:szCs w:val="24"/>
                <w:lang w:eastAsia="es-ES"/>
              </w:rPr>
              <w:t>la reclamante ha demostrado en este procedimiento su calidad de representante de las partes interesadas</w:t>
            </w:r>
            <w:r w:rsidR="00A50B2B" w:rsidRPr="00A50B2B">
              <w:rPr>
                <w:rFonts w:ascii="Arial" w:eastAsia="Times New Roman" w:hAnsi="Arial" w:cs="Arial"/>
                <w:bCs/>
                <w:i/>
                <w:sz w:val="24"/>
                <w:szCs w:val="24"/>
                <w:lang w:eastAsia="es-ES"/>
              </w:rPr>
              <w:t xml:space="preserve"> (comunidades indígenas)</w:t>
            </w:r>
            <w:r w:rsidR="00EB6623" w:rsidRPr="00A50B2B">
              <w:rPr>
                <w:rFonts w:ascii="Arial" w:eastAsia="Times New Roman" w:hAnsi="Arial" w:cs="Arial"/>
                <w:bCs/>
                <w:i/>
                <w:sz w:val="24"/>
                <w:szCs w:val="24"/>
                <w:lang w:eastAsia="es-ES"/>
              </w:rPr>
              <w:t xml:space="preserve"> en los procedimientos de compra que se llevan a cabo por la CONADI y a las cuales ha requerido acceso. En virtud del art. 17 de la Ley N° 19.880, por tanto, tiene derecho a conocer en cualquier momento, el estado de la tramitación de los procedimientos por detentar la </w:t>
            </w:r>
            <w:bookmarkStart w:id="0" w:name="LPHit6"/>
            <w:bookmarkEnd w:id="0"/>
            <w:r w:rsidR="00EB6623" w:rsidRPr="00A50B2B">
              <w:rPr>
                <w:rFonts w:ascii="Arial" w:eastAsia="Times New Roman" w:hAnsi="Arial" w:cs="Arial"/>
                <w:bCs/>
                <w:i/>
                <w:sz w:val="24"/>
                <w:szCs w:val="24"/>
                <w:lang w:eastAsia="es-ES"/>
              </w:rPr>
              <w:t>condición de interesada y de obtener copia autorizada de los documentos que rolan en el expediente. Asimismo, puede acceder a los actos administrativos y sus documentos, en los términos previstos en la ley. Por lo demás, la propia CONADI ha señalado que de acreditarse la representación no tendría inconvenientes en entregar la información</w:t>
            </w:r>
            <w:r w:rsidR="00EB6623" w:rsidRPr="00A50B2B">
              <w:rPr>
                <w:rFonts w:ascii="Arial" w:eastAsia="Times New Roman" w:hAnsi="Arial" w:cs="Arial"/>
                <w:bCs/>
                <w:sz w:val="24"/>
                <w:szCs w:val="24"/>
                <w:lang w:eastAsia="es-ES"/>
              </w:rPr>
              <w:t>”.</w:t>
            </w:r>
          </w:p>
          <w:p w14:paraId="1DC0E89B" w14:textId="77777777" w:rsidR="00B43671" w:rsidRPr="00A50B2B" w:rsidRDefault="00B43671" w:rsidP="0045095B">
            <w:pPr>
              <w:pStyle w:val="Prrafodelista"/>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CA8448C" w14:textId="77777777" w:rsidR="000167E4" w:rsidRPr="00A50B2B" w:rsidRDefault="00B43671" w:rsidP="0045095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sz w:val="24"/>
                <w:szCs w:val="24"/>
                <w:lang w:val="es-MX" w:eastAsia="es-ES"/>
              </w:rPr>
              <w:t>¿C</w:t>
            </w:r>
            <w:r w:rsidR="00202080" w:rsidRPr="00A50B2B">
              <w:rPr>
                <w:rFonts w:ascii="Arial" w:eastAsia="Times New Roman" w:hAnsi="Arial" w:cs="Arial"/>
                <w:sz w:val="24"/>
                <w:szCs w:val="24"/>
                <w:lang w:val="es-MX" w:eastAsia="es-ES"/>
              </w:rPr>
              <w:t>ómo se garantiza en s</w:t>
            </w:r>
            <w:r w:rsidRPr="00A50B2B">
              <w:rPr>
                <w:rFonts w:ascii="Arial" w:eastAsia="Times New Roman" w:hAnsi="Arial" w:cs="Arial"/>
                <w:sz w:val="24"/>
                <w:szCs w:val="24"/>
                <w:lang w:val="es-MX" w:eastAsia="es-ES"/>
              </w:rPr>
              <w:t xml:space="preserve">u </w:t>
            </w:r>
            <w:r w:rsidR="00202080" w:rsidRPr="00A50B2B">
              <w:rPr>
                <w:rFonts w:ascii="Arial" w:eastAsia="Times New Roman" w:hAnsi="Arial" w:cs="Arial"/>
                <w:sz w:val="24"/>
                <w:szCs w:val="24"/>
                <w:lang w:val="es-MX" w:eastAsia="es-ES"/>
              </w:rPr>
              <w:t>institución el derecho de acceso a la información de los grupos vulnerable</w:t>
            </w:r>
            <w:r w:rsidR="00317FA5" w:rsidRPr="00A50B2B">
              <w:rPr>
                <w:rFonts w:ascii="Arial" w:eastAsia="Times New Roman" w:hAnsi="Arial" w:cs="Arial"/>
                <w:sz w:val="24"/>
                <w:szCs w:val="24"/>
                <w:lang w:val="es-MX" w:eastAsia="es-ES"/>
              </w:rPr>
              <w:t>s</w:t>
            </w:r>
            <w:r w:rsidR="00202080" w:rsidRPr="00A50B2B">
              <w:rPr>
                <w:rFonts w:ascii="Arial" w:eastAsia="Times New Roman" w:hAnsi="Arial" w:cs="Arial"/>
                <w:sz w:val="24"/>
                <w:szCs w:val="24"/>
                <w:lang w:val="es-MX" w:eastAsia="es-ES"/>
              </w:rPr>
              <w:t xml:space="preserve"> o minoritarios?</w:t>
            </w:r>
          </w:p>
          <w:p w14:paraId="2E5A7837" w14:textId="77777777" w:rsidR="009D1723" w:rsidRPr="00A50B2B" w:rsidRDefault="009D1723" w:rsidP="0045095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FC2A926" w14:textId="77777777" w:rsidR="009D1723" w:rsidRPr="00A50B2B" w:rsidRDefault="009D1723" w:rsidP="0045095B">
            <w:pPr>
              <w:pStyle w:val="Prrafodelista"/>
              <w:numPr>
                <w:ilvl w:val="0"/>
                <w:numId w:val="5"/>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b/>
                <w:sz w:val="24"/>
                <w:szCs w:val="24"/>
                <w:u w:val="single"/>
                <w:lang w:val="es-MX" w:eastAsia="es-ES"/>
              </w:rPr>
              <w:t>Respuesta</w:t>
            </w:r>
            <w:r w:rsidRPr="00A50B2B">
              <w:rPr>
                <w:rFonts w:ascii="Arial" w:eastAsia="Times New Roman" w:hAnsi="Arial" w:cs="Arial"/>
                <w:b/>
                <w:sz w:val="24"/>
                <w:szCs w:val="24"/>
                <w:lang w:val="es-MX" w:eastAsia="es-ES"/>
              </w:rPr>
              <w:t>:</w:t>
            </w:r>
            <w:r w:rsidR="00317FA5" w:rsidRPr="00A50B2B">
              <w:rPr>
                <w:rFonts w:ascii="Arial" w:eastAsia="Times New Roman" w:hAnsi="Arial" w:cs="Arial"/>
                <w:b/>
                <w:sz w:val="24"/>
                <w:szCs w:val="24"/>
                <w:lang w:val="es-MX" w:eastAsia="es-ES"/>
              </w:rPr>
              <w:t xml:space="preserve"> </w:t>
            </w:r>
          </w:p>
          <w:p w14:paraId="49E00878" w14:textId="77777777" w:rsidR="007C6FA2" w:rsidRPr="00A50B2B" w:rsidRDefault="007C6FA2" w:rsidP="0045095B">
            <w:pPr>
              <w:pStyle w:val="Prrafodelista"/>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2B1D27D" w14:textId="77777777" w:rsidR="00A63A78" w:rsidRDefault="001861D7" w:rsidP="0045095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sz w:val="24"/>
                <w:szCs w:val="24"/>
                <w:lang w:val="es-MX" w:eastAsia="es-ES"/>
              </w:rPr>
              <w:t>Además</w:t>
            </w:r>
            <w:r w:rsidR="007C6FA2" w:rsidRPr="00A50B2B">
              <w:rPr>
                <w:rFonts w:ascii="Arial" w:eastAsia="Times New Roman" w:hAnsi="Arial" w:cs="Arial"/>
                <w:sz w:val="24"/>
                <w:szCs w:val="24"/>
                <w:lang w:val="es-MX" w:eastAsia="es-ES"/>
              </w:rPr>
              <w:t xml:space="preserve"> de la dictación de instrucciones generales, el Consejo, en virtud de </w:t>
            </w:r>
            <w:r w:rsidR="00EB1CAC">
              <w:rPr>
                <w:rFonts w:ascii="Arial" w:eastAsia="Times New Roman" w:hAnsi="Arial" w:cs="Arial"/>
                <w:sz w:val="24"/>
                <w:szCs w:val="24"/>
                <w:lang w:val="es-MX" w:eastAsia="es-ES"/>
              </w:rPr>
              <w:t>las facultades contenidas en la letra</w:t>
            </w:r>
            <w:r w:rsidR="007C6FA2" w:rsidRPr="00A50B2B">
              <w:rPr>
                <w:rFonts w:ascii="Arial" w:eastAsia="Times New Roman" w:hAnsi="Arial" w:cs="Arial"/>
                <w:sz w:val="24"/>
                <w:szCs w:val="24"/>
                <w:lang w:val="es-MX" w:eastAsia="es-ES"/>
              </w:rPr>
              <w:t xml:space="preserve"> c)</w:t>
            </w:r>
            <w:r w:rsidR="00591ED0" w:rsidRPr="00A50B2B">
              <w:rPr>
                <w:rFonts w:ascii="Arial" w:eastAsia="Times New Roman" w:hAnsi="Arial" w:cs="Arial"/>
                <w:sz w:val="24"/>
                <w:szCs w:val="24"/>
                <w:lang w:val="es-MX" w:eastAsia="es-ES"/>
              </w:rPr>
              <w:t>,</w:t>
            </w:r>
            <w:r w:rsidR="00EB1CAC">
              <w:rPr>
                <w:rFonts w:ascii="Arial" w:eastAsia="Times New Roman" w:hAnsi="Arial" w:cs="Arial"/>
                <w:sz w:val="24"/>
                <w:szCs w:val="24"/>
                <w:lang w:val="es-MX" w:eastAsia="es-ES"/>
              </w:rPr>
              <w:t xml:space="preserve"> del artículo 33,</w:t>
            </w:r>
            <w:r w:rsidR="00591ED0" w:rsidRPr="00A50B2B">
              <w:rPr>
                <w:rFonts w:ascii="Arial" w:eastAsia="Times New Roman" w:hAnsi="Arial" w:cs="Arial"/>
                <w:sz w:val="24"/>
                <w:szCs w:val="24"/>
                <w:lang w:val="es-MX" w:eastAsia="es-ES"/>
              </w:rPr>
              <w:t xml:space="preserve"> de la Ley de Transparencia, que dispone que la Corporación debe: “</w:t>
            </w:r>
            <w:r w:rsidR="00591ED0" w:rsidRPr="00A50B2B">
              <w:rPr>
                <w:rFonts w:ascii="Arial" w:eastAsia="Times New Roman" w:hAnsi="Arial" w:cs="Arial"/>
                <w:i/>
                <w:sz w:val="24"/>
                <w:szCs w:val="24"/>
                <w:lang w:val="es-CL" w:eastAsia="es-ES"/>
              </w:rPr>
              <w:t>Promover la transparencia de la función pública, la publicidad de la información de los órganos de la Administración del Estado, y el derecho de acceso a la información, por cualquier medio de publicación</w:t>
            </w:r>
            <w:r w:rsidR="00591ED0" w:rsidRPr="00A50B2B">
              <w:rPr>
                <w:rFonts w:ascii="Arial" w:eastAsia="Times New Roman" w:hAnsi="Arial" w:cs="Arial"/>
                <w:sz w:val="24"/>
                <w:szCs w:val="24"/>
                <w:lang w:val="es-CL" w:eastAsia="es-ES"/>
              </w:rPr>
              <w:t>”</w:t>
            </w:r>
            <w:r w:rsidRPr="00A50B2B">
              <w:rPr>
                <w:rFonts w:ascii="Arial" w:eastAsia="Times New Roman" w:hAnsi="Arial" w:cs="Arial"/>
                <w:sz w:val="24"/>
                <w:szCs w:val="24"/>
                <w:lang w:val="es-CL" w:eastAsia="es-ES"/>
              </w:rPr>
              <w:t xml:space="preserve">, </w:t>
            </w:r>
            <w:r w:rsidR="00A63A78">
              <w:rPr>
                <w:rFonts w:ascii="Arial" w:eastAsia="Times New Roman" w:hAnsi="Arial" w:cs="Arial"/>
                <w:sz w:val="24"/>
                <w:szCs w:val="24"/>
                <w:lang w:val="es-CL" w:eastAsia="es-ES"/>
              </w:rPr>
              <w:t xml:space="preserve">puede celebrar acuerdos con otros órgano para lograr </w:t>
            </w:r>
            <w:r w:rsidR="00A63A78" w:rsidRPr="00A63A78">
              <w:rPr>
                <w:rFonts w:ascii="Arial" w:eastAsia="Times New Roman" w:hAnsi="Arial" w:cs="Arial"/>
                <w:sz w:val="24"/>
                <w:szCs w:val="24"/>
                <w:lang w:val="es-MX" w:eastAsia="es-ES"/>
              </w:rPr>
              <w:t>garantiza</w:t>
            </w:r>
            <w:r w:rsidR="00A63A78">
              <w:rPr>
                <w:rFonts w:ascii="Arial" w:eastAsia="Times New Roman" w:hAnsi="Arial" w:cs="Arial"/>
                <w:sz w:val="24"/>
                <w:szCs w:val="24"/>
                <w:lang w:val="es-MX" w:eastAsia="es-ES"/>
              </w:rPr>
              <w:t>r</w:t>
            </w:r>
            <w:r w:rsidR="00A63A78" w:rsidRPr="00A63A78">
              <w:rPr>
                <w:rFonts w:ascii="Arial" w:eastAsia="Times New Roman" w:hAnsi="Arial" w:cs="Arial"/>
                <w:sz w:val="24"/>
                <w:szCs w:val="24"/>
                <w:lang w:val="es-MX" w:eastAsia="es-ES"/>
              </w:rPr>
              <w:t xml:space="preserve"> el derecho de acceso a la información de los grupos vulnerables o minoritarios</w:t>
            </w:r>
            <w:r w:rsidR="00A63A78">
              <w:rPr>
                <w:rFonts w:ascii="Arial" w:eastAsia="Times New Roman" w:hAnsi="Arial" w:cs="Arial"/>
                <w:sz w:val="24"/>
                <w:szCs w:val="24"/>
                <w:lang w:val="es-MX" w:eastAsia="es-ES"/>
              </w:rPr>
              <w:t>.</w:t>
            </w:r>
          </w:p>
          <w:p w14:paraId="6AE4D8A7" w14:textId="77777777" w:rsidR="001861D7" w:rsidRPr="00A63A78" w:rsidRDefault="00A63A78" w:rsidP="00A63A78">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L" w:eastAsia="es-ES"/>
              </w:rPr>
            </w:pPr>
            <w:r>
              <w:rPr>
                <w:rFonts w:ascii="Arial" w:eastAsia="Times New Roman" w:hAnsi="Arial" w:cs="Arial"/>
                <w:sz w:val="24"/>
                <w:szCs w:val="24"/>
                <w:lang w:val="es-MX" w:eastAsia="es-ES"/>
              </w:rPr>
              <w:t xml:space="preserve">A modo de ejemplo, </w:t>
            </w:r>
            <w:r w:rsidR="007D5261" w:rsidRPr="00A63A78">
              <w:rPr>
                <w:rFonts w:ascii="Arial" w:eastAsia="Times New Roman" w:hAnsi="Arial" w:cs="Arial"/>
                <w:sz w:val="24"/>
                <w:szCs w:val="24"/>
                <w:lang w:val="es-CL" w:eastAsia="es-ES"/>
              </w:rPr>
              <w:t>s</w:t>
            </w:r>
            <w:r w:rsidR="001861D7" w:rsidRPr="00A63A78">
              <w:rPr>
                <w:rFonts w:ascii="Arial" w:eastAsia="Times New Roman" w:hAnsi="Arial" w:cs="Arial"/>
                <w:sz w:val="24"/>
                <w:szCs w:val="24"/>
                <w:lang w:val="es-CL" w:eastAsia="es-ES"/>
              </w:rPr>
              <w:t>e coordinó con la Corporación Nacional de Desarrollo Indígena (CONADI), lográndose recientemente la traducción en lengua aimara de la cápsula digital que enseñará a los miembros de esa etnia a realizar una solicitud de acceso a la información pública.</w:t>
            </w:r>
          </w:p>
          <w:p w14:paraId="6858774D" w14:textId="77777777" w:rsidR="001861D7" w:rsidRPr="00A50B2B" w:rsidRDefault="001861D7" w:rsidP="0045095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CL" w:eastAsia="es-ES"/>
              </w:rPr>
            </w:pPr>
            <w:r w:rsidRPr="00A50B2B">
              <w:rPr>
                <w:rFonts w:ascii="Arial" w:eastAsia="Times New Roman" w:hAnsi="Arial" w:cs="Arial"/>
                <w:sz w:val="24"/>
                <w:szCs w:val="24"/>
                <w:lang w:val="es-CL" w:eastAsia="es-ES"/>
              </w:rPr>
              <w:t>El proyecto, que se desarrolla en conjunto con CONADI, tiene por objetivo traducir las cápsulas educativas disponibles en del Portal </w:t>
            </w:r>
            <w:hyperlink r:id="rId7" w:tgtFrame="_blank" w:history="1">
              <w:r w:rsidRPr="00A50B2B">
                <w:rPr>
                  <w:rStyle w:val="Hipervnculo"/>
                  <w:rFonts w:ascii="Arial" w:eastAsia="Times New Roman" w:hAnsi="Arial" w:cs="Arial"/>
                  <w:sz w:val="24"/>
                  <w:szCs w:val="24"/>
                  <w:lang w:val="es-CL" w:eastAsia="es-ES"/>
                </w:rPr>
                <w:t>Educatransparencia</w:t>
              </w:r>
            </w:hyperlink>
            <w:r w:rsidRPr="00A50B2B">
              <w:rPr>
                <w:rFonts w:ascii="Arial" w:eastAsia="Times New Roman" w:hAnsi="Arial" w:cs="Arial"/>
                <w:sz w:val="24"/>
                <w:szCs w:val="24"/>
                <w:lang w:val="es-CL" w:eastAsia="es-ES"/>
              </w:rPr>
              <w:t>, en los idiomas mapudungun, aimara y rapa nui, siguiendo la definición realizada por CONADI sobre las lenguas originarias más representativos del país. Su fundamento está dado por el cumplimiento del Convenio 169 de la OIT sobre los derechos de los pueblos indígenas y las tareas de difusión y promoción de la Transparencia que se le encomiendan al CPLT.</w:t>
            </w:r>
          </w:p>
          <w:p w14:paraId="24E5AFE6" w14:textId="77777777" w:rsidR="008E6A79" w:rsidRPr="0045095B" w:rsidRDefault="008E6A79" w:rsidP="0045095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A99C5C0" w14:textId="77777777" w:rsidR="00231614" w:rsidRPr="00A50B2B" w:rsidRDefault="008E6A79" w:rsidP="0045095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sz w:val="24"/>
                <w:szCs w:val="24"/>
                <w:lang w:eastAsia="es-ES"/>
              </w:rPr>
              <w:t xml:space="preserve">¿Con qué herramientas o protocolos internos cuentan las entidades obligadas (sujetos obligados) en la materia, a efecto de garantizar el derecho fundamental (transparencia activa y transparencia pasiva) a personas con discapacidad o personas que hablen lenguas (o idiomas) de los pueblos </w:t>
            </w:r>
            <w:r w:rsidR="003468BE" w:rsidRPr="00A50B2B">
              <w:rPr>
                <w:rFonts w:ascii="Arial" w:eastAsia="Times New Roman" w:hAnsi="Arial" w:cs="Arial"/>
                <w:sz w:val="24"/>
                <w:szCs w:val="24"/>
                <w:lang w:eastAsia="es-ES"/>
              </w:rPr>
              <w:t>originarios</w:t>
            </w:r>
            <w:r w:rsidRPr="00A50B2B">
              <w:rPr>
                <w:rFonts w:ascii="Arial" w:eastAsia="Times New Roman" w:hAnsi="Arial" w:cs="Arial"/>
                <w:sz w:val="24"/>
                <w:szCs w:val="24"/>
                <w:lang w:eastAsia="es-ES"/>
              </w:rPr>
              <w:t xml:space="preserve"> del país?</w:t>
            </w:r>
          </w:p>
          <w:p w14:paraId="18441D43" w14:textId="77777777" w:rsidR="009D1723" w:rsidRPr="00A50B2B" w:rsidRDefault="009D1723" w:rsidP="0045095B">
            <w:pPr>
              <w:pStyle w:val="Prrafodelista"/>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82343E6" w14:textId="77777777" w:rsidR="009B4E92" w:rsidRPr="0045095B" w:rsidRDefault="009D1723" w:rsidP="0045095B">
            <w:pPr>
              <w:pStyle w:val="Prrafodelista"/>
              <w:numPr>
                <w:ilvl w:val="0"/>
                <w:numId w:val="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50B2B">
              <w:rPr>
                <w:rFonts w:ascii="Arial" w:eastAsia="Times New Roman" w:hAnsi="Arial" w:cs="Arial"/>
                <w:b/>
                <w:sz w:val="24"/>
                <w:szCs w:val="24"/>
                <w:u w:val="single"/>
                <w:lang w:val="es-MX" w:eastAsia="es-ES"/>
              </w:rPr>
              <w:t>Respuesta</w:t>
            </w:r>
            <w:r w:rsidRPr="00A50B2B">
              <w:rPr>
                <w:rFonts w:ascii="Arial" w:eastAsia="Times New Roman" w:hAnsi="Arial" w:cs="Arial"/>
                <w:b/>
                <w:sz w:val="24"/>
                <w:szCs w:val="24"/>
                <w:lang w:val="es-MX" w:eastAsia="es-ES"/>
              </w:rPr>
              <w:t>:</w:t>
            </w:r>
            <w:r w:rsidR="002C6A7A" w:rsidRPr="00A50B2B">
              <w:rPr>
                <w:rFonts w:ascii="Arial" w:eastAsia="Times New Roman" w:hAnsi="Arial" w:cs="Arial"/>
                <w:b/>
                <w:sz w:val="24"/>
                <w:szCs w:val="24"/>
                <w:lang w:val="es-MX" w:eastAsia="es-ES"/>
              </w:rPr>
              <w:t xml:space="preserve"> </w:t>
            </w:r>
            <w:r w:rsidR="00354BA0" w:rsidRPr="00A50B2B">
              <w:rPr>
                <w:rFonts w:ascii="Arial" w:eastAsia="Times New Roman" w:hAnsi="Arial" w:cs="Arial"/>
                <w:sz w:val="24"/>
                <w:szCs w:val="24"/>
                <w:lang w:val="es-MX" w:eastAsia="es-ES"/>
              </w:rPr>
              <w:t>C</w:t>
            </w:r>
            <w:r w:rsidR="00BB3566" w:rsidRPr="00A50B2B">
              <w:rPr>
                <w:rFonts w:ascii="Arial" w:eastAsia="Times New Roman" w:hAnsi="Arial" w:cs="Arial"/>
                <w:sz w:val="24"/>
                <w:szCs w:val="24"/>
                <w:lang w:val="es-MX" w:eastAsia="es-ES"/>
              </w:rPr>
              <w:t>omo herramientas o protocolos impuestos a los sujetos obligados, el Consejo</w:t>
            </w:r>
            <w:r w:rsidR="006B0FAF" w:rsidRPr="00A50B2B">
              <w:rPr>
                <w:rFonts w:ascii="Arial" w:eastAsia="Times New Roman" w:hAnsi="Arial" w:cs="Arial"/>
                <w:sz w:val="24"/>
                <w:szCs w:val="24"/>
                <w:lang w:val="es-MX" w:eastAsia="es-ES"/>
              </w:rPr>
              <w:t xml:space="preserve">, en la instrucción general N° 10, sobre </w:t>
            </w:r>
            <w:r w:rsidR="006B0FAF" w:rsidRPr="00A50B2B">
              <w:rPr>
                <w:rFonts w:ascii="Arial" w:eastAsia="Times New Roman" w:hAnsi="Arial" w:cs="Arial"/>
                <w:sz w:val="24"/>
                <w:szCs w:val="24"/>
                <w:lang w:eastAsia="es-ES"/>
              </w:rPr>
              <w:t xml:space="preserve">el procedimiento administrativo de acceso a la información, estableció que: </w:t>
            </w:r>
            <w:r w:rsidR="005E7CED" w:rsidRPr="00A50B2B">
              <w:rPr>
                <w:rFonts w:ascii="Arial" w:eastAsia="Times New Roman" w:hAnsi="Arial" w:cs="Arial"/>
                <w:sz w:val="24"/>
                <w:szCs w:val="24"/>
                <w:lang w:eastAsia="es-ES"/>
              </w:rPr>
              <w:t>“</w:t>
            </w:r>
            <w:r w:rsidR="005E7CED" w:rsidRPr="00A50B2B">
              <w:rPr>
                <w:rFonts w:ascii="Arial" w:eastAsia="Times New Roman" w:hAnsi="Arial" w:cs="Arial"/>
                <w:i/>
                <w:sz w:val="24"/>
                <w:szCs w:val="24"/>
                <w:lang w:eastAsia="es-ES"/>
              </w:rPr>
              <w:t>En virtud del principio de accesibilidad universal contemplado en la Ley N° 20.422, que establece normas sobre igualdad de oportunidades e inclusión social de personas con discapacidad, deberá disponerse de formularios que sean comprensibles y utilizables por las personas con discapacidad, en condiciones de seguridad y comodidad, y de la forma más autónoma y natural posible. Por ejemplo, para personas con discapacidad visual se dispondrá de formularios en formatos que permitan una lectura fácil. Se considerará una buena práctica que el formulario se encuentre disponible en diversos idiomas. Esta recomendación se aplica especialmente respecto de aquellos servicios que dentro de su competencia se vinculen en forma habitual con personas que hablen idiomas distintos del castellano. Sin perjuicio de lo señalado en el párrafo anterior y por aplicación de lo dispuesto en el Convenio Nº 169, de la Organización Internacional del Trabajo, sobre pueblos indígenas y tribales en países independientes, en las áreas de alta densidad indígena, los órganos públicos deberán contar con formularios en las lenguas indígenas a que se refiere la Ley Nº 19.253, que establece normas sobre protección, fomento y desarrollo de los indígenas</w:t>
            </w:r>
            <w:r w:rsidR="005E7CED" w:rsidRPr="00A50B2B">
              <w:rPr>
                <w:rFonts w:ascii="Arial" w:eastAsia="Times New Roman" w:hAnsi="Arial" w:cs="Arial"/>
                <w:sz w:val="24"/>
                <w:szCs w:val="24"/>
                <w:lang w:eastAsia="es-ES"/>
              </w:rPr>
              <w:t>”.</w:t>
            </w:r>
          </w:p>
          <w:p w14:paraId="4BF076A4" w14:textId="77777777" w:rsidR="00DB5F12" w:rsidRPr="00A50B2B" w:rsidRDefault="00DB5F12" w:rsidP="005A02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14:paraId="302FADF8"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37D3ADC6"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14:paraId="4EBE66EF" w14:textId="77777777" w:rsidR="0045095B" w:rsidRDefault="0045095B"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14:paraId="797FCF23" w14:textId="77777777" w:rsidR="004F426F" w:rsidRPr="00A50B2B" w:rsidRDefault="00FF70CD"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A50B2B">
              <w:rPr>
                <w:rFonts w:ascii="Arial" w:eastAsia="Times New Roman" w:hAnsi="Arial" w:cs="Arial"/>
                <w:iCs/>
                <w:sz w:val="24"/>
                <w:szCs w:val="24"/>
                <w:lang w:val="es-MX"/>
              </w:rPr>
              <w:t>¿Cuáles son las políticas establecidas en sus respectivas instituciones, a efecto de garantizar el criterio diferencial de acceso a la información a grupos minoritarios (etnias, comunidades o personas que hablan una lengua</w:t>
            </w:r>
            <w:r w:rsidR="00E87B49" w:rsidRPr="00A50B2B">
              <w:rPr>
                <w:rFonts w:ascii="Arial" w:eastAsia="Times New Roman" w:hAnsi="Arial" w:cs="Arial"/>
                <w:iCs/>
                <w:sz w:val="24"/>
                <w:szCs w:val="24"/>
                <w:lang w:val="es-MX"/>
              </w:rPr>
              <w:t xml:space="preserve"> o idioma distinto</w:t>
            </w:r>
            <w:r w:rsidRPr="00A50B2B">
              <w:rPr>
                <w:rFonts w:ascii="Arial" w:eastAsia="Times New Roman" w:hAnsi="Arial" w:cs="Arial"/>
                <w:iCs/>
                <w:sz w:val="24"/>
                <w:szCs w:val="24"/>
                <w:lang w:val="es-MX"/>
              </w:rPr>
              <w:t xml:space="preserve"> </w:t>
            </w:r>
            <w:r w:rsidR="003468BE" w:rsidRPr="00A50B2B">
              <w:rPr>
                <w:rFonts w:ascii="Arial" w:eastAsia="Times New Roman" w:hAnsi="Arial" w:cs="Arial"/>
                <w:iCs/>
                <w:sz w:val="24"/>
                <w:szCs w:val="24"/>
                <w:lang w:val="es-MX"/>
              </w:rPr>
              <w:t xml:space="preserve">al </w:t>
            </w:r>
            <w:r w:rsidRPr="00A50B2B">
              <w:rPr>
                <w:rFonts w:ascii="Arial" w:eastAsia="Times New Roman" w:hAnsi="Arial" w:cs="Arial"/>
                <w:iCs/>
                <w:sz w:val="24"/>
                <w:szCs w:val="24"/>
                <w:lang w:val="es-MX"/>
              </w:rPr>
              <w:t>oficial del país) y personas con discapacidad?</w:t>
            </w:r>
          </w:p>
          <w:p w14:paraId="373A7CA2" w14:textId="77777777" w:rsidR="009D1723" w:rsidRPr="00A50B2B" w:rsidRDefault="009D1723"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14:paraId="59CC23B3" w14:textId="77777777" w:rsidR="009D1723" w:rsidRPr="00A50B2B" w:rsidRDefault="009D1723" w:rsidP="0045095B">
            <w:pPr>
              <w:numPr>
                <w:ilvl w:val="0"/>
                <w:numId w:val="5"/>
              </w:numPr>
              <w:spacing w:before="120" w:after="120"/>
              <w:ind w:left="714" w:hanging="35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A50B2B">
              <w:rPr>
                <w:rFonts w:ascii="Arial" w:eastAsia="Times New Roman" w:hAnsi="Arial" w:cs="Arial"/>
                <w:b/>
                <w:iCs/>
                <w:sz w:val="24"/>
                <w:szCs w:val="24"/>
                <w:u w:val="single"/>
                <w:lang w:val="es-MX"/>
              </w:rPr>
              <w:t>Respuesta</w:t>
            </w:r>
            <w:r w:rsidRPr="00A50B2B">
              <w:rPr>
                <w:rFonts w:ascii="Arial" w:eastAsia="Times New Roman" w:hAnsi="Arial" w:cs="Arial"/>
                <w:b/>
                <w:iCs/>
                <w:sz w:val="24"/>
                <w:szCs w:val="24"/>
                <w:lang w:val="es-MX"/>
              </w:rPr>
              <w:t>:</w:t>
            </w:r>
            <w:r w:rsidR="00E173D8" w:rsidRPr="00A50B2B">
              <w:rPr>
                <w:rFonts w:ascii="Arial" w:eastAsia="Times New Roman" w:hAnsi="Arial" w:cs="Arial"/>
                <w:b/>
                <w:iCs/>
                <w:sz w:val="24"/>
                <w:szCs w:val="24"/>
                <w:lang w:val="es-MX"/>
              </w:rPr>
              <w:t xml:space="preserve"> </w:t>
            </w:r>
            <w:r w:rsidR="00E173D8" w:rsidRPr="00A50B2B">
              <w:rPr>
                <w:rFonts w:ascii="Arial" w:eastAsia="Times New Roman" w:hAnsi="Arial" w:cs="Arial"/>
                <w:iCs/>
                <w:sz w:val="24"/>
                <w:szCs w:val="24"/>
                <w:lang w:val="es-MX"/>
              </w:rPr>
              <w:t>Para efectos de este pregunta</w:t>
            </w:r>
            <w:r w:rsidR="009B4E92" w:rsidRPr="00A50B2B">
              <w:rPr>
                <w:rFonts w:ascii="Arial" w:eastAsia="Times New Roman" w:hAnsi="Arial" w:cs="Arial"/>
                <w:iCs/>
                <w:sz w:val="24"/>
                <w:szCs w:val="24"/>
                <w:lang w:val="es-MX"/>
              </w:rPr>
              <w:t>,</w:t>
            </w:r>
            <w:r w:rsidR="00E173D8" w:rsidRPr="00A50B2B">
              <w:rPr>
                <w:rFonts w:ascii="Arial" w:eastAsia="Times New Roman" w:hAnsi="Arial" w:cs="Arial"/>
                <w:iCs/>
                <w:sz w:val="24"/>
                <w:szCs w:val="24"/>
                <w:lang w:val="es-MX"/>
              </w:rPr>
              <w:t xml:space="preserve"> nos remitiremos a lo respondido referente a lo que ha establecido el Consejo </w:t>
            </w:r>
            <w:r w:rsidR="009B4E92" w:rsidRPr="00A50B2B">
              <w:rPr>
                <w:rFonts w:ascii="Arial" w:eastAsia="Times New Roman" w:hAnsi="Arial" w:cs="Arial"/>
                <w:iCs/>
                <w:sz w:val="24"/>
                <w:szCs w:val="24"/>
                <w:lang w:val="es-MX"/>
              </w:rPr>
              <w:t>en su instrucción general N° 10, referidas precedentemente.</w:t>
            </w:r>
            <w:r w:rsidR="00E173D8" w:rsidRPr="00A50B2B">
              <w:rPr>
                <w:rFonts w:ascii="Arial" w:eastAsia="Times New Roman" w:hAnsi="Arial" w:cs="Arial"/>
                <w:iCs/>
                <w:sz w:val="24"/>
                <w:szCs w:val="24"/>
                <w:lang w:val="es-MX"/>
              </w:rPr>
              <w:t xml:space="preserve"> </w:t>
            </w:r>
          </w:p>
          <w:p w14:paraId="0782637F" w14:textId="77777777" w:rsidR="009D1723" w:rsidRPr="00A50B2B" w:rsidRDefault="009D1723"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8F4832" w14:paraId="674E22FF"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3031CABA"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14:paraId="013B0DED"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14:paraId="5191F418" w14:textId="77777777" w:rsidR="009E2A68" w:rsidRPr="00A50B2B" w:rsidRDefault="00124360" w:rsidP="00110E5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A50B2B">
              <w:rPr>
                <w:rFonts w:ascii="Arial" w:eastAsia="Times New Roman" w:hAnsi="Arial" w:cs="Arial"/>
                <w:iCs/>
                <w:sz w:val="24"/>
                <w:szCs w:val="24"/>
              </w:rPr>
              <w:t>De acuerdo a lo expresado en los puntos anteriores, el Consejo para la Transparencia, por medio de los instrumentos que le confiere la ley,</w:t>
            </w:r>
            <w:r w:rsidR="00110E5A" w:rsidRPr="00A50B2B">
              <w:rPr>
                <w:rFonts w:ascii="Arial" w:eastAsia="Times New Roman" w:hAnsi="Arial" w:cs="Arial"/>
                <w:iCs/>
                <w:sz w:val="24"/>
                <w:szCs w:val="24"/>
              </w:rPr>
              <w:t xml:space="preserve"> y</w:t>
            </w:r>
            <w:r w:rsidRPr="00A50B2B">
              <w:rPr>
                <w:rFonts w:ascii="Arial" w:eastAsia="Times New Roman" w:hAnsi="Arial" w:cs="Arial"/>
                <w:iCs/>
                <w:sz w:val="24"/>
                <w:szCs w:val="24"/>
              </w:rPr>
              <w:t xml:space="preserve"> </w:t>
            </w:r>
            <w:r w:rsidR="006B09DA" w:rsidRPr="00A50B2B">
              <w:rPr>
                <w:rFonts w:ascii="Arial" w:eastAsia="Times New Roman" w:hAnsi="Arial" w:cs="Arial"/>
                <w:iCs/>
                <w:sz w:val="24"/>
                <w:szCs w:val="24"/>
              </w:rPr>
              <w:t xml:space="preserve">en virtud de la relevancia de </w:t>
            </w:r>
            <w:r w:rsidR="00110E5A" w:rsidRPr="00A50B2B">
              <w:rPr>
                <w:rFonts w:ascii="Arial" w:eastAsia="Times New Roman" w:hAnsi="Arial" w:cs="Arial"/>
                <w:iCs/>
                <w:sz w:val="24"/>
                <w:szCs w:val="24"/>
              </w:rPr>
              <w:t xml:space="preserve">contar con </w:t>
            </w:r>
            <w:r w:rsidR="006B09DA" w:rsidRPr="00A50B2B">
              <w:rPr>
                <w:rFonts w:ascii="Arial" w:eastAsia="Times New Roman" w:hAnsi="Arial" w:cs="Arial"/>
                <w:iCs/>
                <w:sz w:val="24"/>
                <w:szCs w:val="24"/>
              </w:rPr>
              <w:t>criterios diferenciadores,</w:t>
            </w:r>
            <w:r w:rsidR="00110E5A" w:rsidRPr="00A50B2B">
              <w:rPr>
                <w:rFonts w:ascii="Arial" w:eastAsia="Times New Roman" w:hAnsi="Arial" w:cs="Arial"/>
                <w:iCs/>
                <w:sz w:val="24"/>
                <w:szCs w:val="24"/>
              </w:rPr>
              <w:t xml:space="preserve"> ha establecido normativa</w:t>
            </w:r>
            <w:r w:rsidR="006419CB" w:rsidRPr="00A50B2B">
              <w:rPr>
                <w:rFonts w:ascii="Arial" w:eastAsia="Times New Roman" w:hAnsi="Arial" w:cs="Arial"/>
                <w:iCs/>
                <w:sz w:val="24"/>
                <w:szCs w:val="24"/>
              </w:rPr>
              <w:t>s</w:t>
            </w:r>
            <w:r w:rsidR="00110E5A" w:rsidRPr="00A50B2B">
              <w:rPr>
                <w:rFonts w:ascii="Arial" w:eastAsia="Times New Roman" w:hAnsi="Arial" w:cs="Arial"/>
                <w:iCs/>
                <w:sz w:val="24"/>
                <w:szCs w:val="24"/>
              </w:rPr>
              <w:t xml:space="preserve"> que tienda</w:t>
            </w:r>
            <w:r w:rsidR="006419CB" w:rsidRPr="00A50B2B">
              <w:rPr>
                <w:rFonts w:ascii="Arial" w:eastAsia="Times New Roman" w:hAnsi="Arial" w:cs="Arial"/>
                <w:iCs/>
                <w:sz w:val="24"/>
                <w:szCs w:val="24"/>
              </w:rPr>
              <w:t>n</w:t>
            </w:r>
            <w:r w:rsidR="00110E5A" w:rsidRPr="00A50B2B">
              <w:rPr>
                <w:rFonts w:ascii="Arial" w:eastAsia="Times New Roman" w:hAnsi="Arial" w:cs="Arial"/>
                <w:iCs/>
                <w:sz w:val="24"/>
                <w:szCs w:val="24"/>
              </w:rPr>
              <w:t xml:space="preserve"> a facilitar el acceso a la información pública a los grupos </w:t>
            </w:r>
            <w:r w:rsidR="006419CB" w:rsidRPr="00A50B2B">
              <w:rPr>
                <w:rFonts w:ascii="Arial" w:eastAsia="Times New Roman" w:hAnsi="Arial" w:cs="Arial"/>
                <w:iCs/>
                <w:sz w:val="24"/>
                <w:szCs w:val="24"/>
              </w:rPr>
              <w:t xml:space="preserve">minoritarios, como los que se aprecian en nuestras instrucciones generales ya señalados, </w:t>
            </w:r>
            <w:r w:rsidR="00C36226">
              <w:rPr>
                <w:rFonts w:ascii="Arial" w:eastAsia="Times New Roman" w:hAnsi="Arial" w:cs="Arial"/>
                <w:iCs/>
                <w:sz w:val="24"/>
                <w:szCs w:val="24"/>
              </w:rPr>
              <w:t>como asimismo, la realizació</w:t>
            </w:r>
            <w:bookmarkStart w:id="1" w:name="_GoBack"/>
            <w:bookmarkEnd w:id="1"/>
            <w:r w:rsidR="003A0950">
              <w:rPr>
                <w:rFonts w:ascii="Arial" w:eastAsia="Times New Roman" w:hAnsi="Arial" w:cs="Arial"/>
                <w:iCs/>
                <w:sz w:val="24"/>
                <w:szCs w:val="24"/>
              </w:rPr>
              <w:t>n</w:t>
            </w:r>
            <w:r w:rsidR="00360A94" w:rsidRPr="00A50B2B">
              <w:rPr>
                <w:rFonts w:ascii="Arial" w:eastAsia="Times New Roman" w:hAnsi="Arial" w:cs="Arial"/>
                <w:iCs/>
                <w:sz w:val="24"/>
                <w:szCs w:val="24"/>
              </w:rPr>
              <w:t xml:space="preserve"> de actividades conjuntas con otro </w:t>
            </w:r>
            <w:r w:rsidR="00604F37" w:rsidRPr="00A50B2B">
              <w:rPr>
                <w:rFonts w:ascii="Arial" w:eastAsia="Times New Roman" w:hAnsi="Arial" w:cs="Arial"/>
                <w:iCs/>
                <w:sz w:val="24"/>
                <w:szCs w:val="24"/>
              </w:rPr>
              <w:t>Órganos</w:t>
            </w:r>
            <w:r w:rsidR="00360A94" w:rsidRPr="00A50B2B">
              <w:rPr>
                <w:rFonts w:ascii="Arial" w:eastAsia="Times New Roman" w:hAnsi="Arial" w:cs="Arial"/>
                <w:iCs/>
                <w:sz w:val="24"/>
                <w:szCs w:val="24"/>
              </w:rPr>
              <w:t xml:space="preserve"> de la Administración del Estado, que miren a dicho fin, como</w:t>
            </w:r>
            <w:r w:rsidR="00604F37" w:rsidRPr="00A50B2B">
              <w:rPr>
                <w:rFonts w:ascii="Arial" w:eastAsia="Times New Roman" w:hAnsi="Arial" w:cs="Arial"/>
                <w:iCs/>
                <w:sz w:val="24"/>
                <w:szCs w:val="24"/>
              </w:rPr>
              <w:t xml:space="preserve"> el acto coordinado con CONADI descrito en un punto anterior.</w:t>
            </w:r>
            <w:r w:rsidR="00360A94" w:rsidRPr="00A50B2B">
              <w:rPr>
                <w:rFonts w:ascii="Arial" w:eastAsia="Times New Roman" w:hAnsi="Arial" w:cs="Arial"/>
                <w:iCs/>
                <w:sz w:val="24"/>
                <w:szCs w:val="24"/>
              </w:rPr>
              <w:t xml:space="preserve"> </w:t>
            </w:r>
            <w:r w:rsidR="00110E5A" w:rsidRPr="00A50B2B">
              <w:rPr>
                <w:rFonts w:ascii="Arial" w:eastAsia="Times New Roman" w:hAnsi="Arial" w:cs="Arial"/>
                <w:iCs/>
                <w:sz w:val="24"/>
                <w:szCs w:val="24"/>
              </w:rPr>
              <w:t xml:space="preserve"> </w:t>
            </w:r>
            <w:r w:rsidR="006B09DA" w:rsidRPr="00A50B2B">
              <w:rPr>
                <w:rFonts w:ascii="Arial" w:eastAsia="Times New Roman" w:hAnsi="Arial" w:cs="Arial"/>
                <w:iCs/>
                <w:sz w:val="24"/>
                <w:szCs w:val="24"/>
              </w:rPr>
              <w:t xml:space="preserve"> </w:t>
            </w:r>
          </w:p>
        </w:tc>
      </w:tr>
      <w:tr w:rsidR="009E2A68" w:rsidRPr="008F4832" w14:paraId="65D9F551"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3BA1739E"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14:paraId="3BDD4C37"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14:paraId="33C1AF53" w14:textId="77777777" w:rsidR="00D344F6" w:rsidRPr="00A50B2B" w:rsidRDefault="002D33CC" w:rsidP="00D344F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A50B2B">
              <w:rPr>
                <w:rFonts w:ascii="Arial" w:eastAsia="Times New Roman" w:hAnsi="Arial" w:cs="Arial"/>
                <w:iCs/>
                <w:sz w:val="24"/>
                <w:szCs w:val="24"/>
              </w:rPr>
              <w:t>Como oportunidad de mejora</w:t>
            </w:r>
            <w:r w:rsidR="00D344F6" w:rsidRPr="00A50B2B">
              <w:rPr>
                <w:rFonts w:ascii="Arial" w:eastAsia="Times New Roman" w:hAnsi="Arial" w:cs="Arial"/>
                <w:iCs/>
                <w:sz w:val="24"/>
                <w:szCs w:val="24"/>
              </w:rPr>
              <w:t xml:space="preserve">, se debe señalar que la ley N° 20.285, </w:t>
            </w:r>
            <w:r w:rsidR="00D344F6" w:rsidRPr="00A50B2B">
              <w:rPr>
                <w:rFonts w:ascii="Arial" w:eastAsia="Times New Roman" w:hAnsi="Arial" w:cs="Arial"/>
                <w:iCs/>
                <w:sz w:val="24"/>
                <w:szCs w:val="24"/>
                <w:lang w:val="es-CL"/>
              </w:rPr>
              <w:t>sobre acceso a la información pública</w:t>
            </w:r>
            <w:r w:rsidR="00F363CE" w:rsidRPr="00A50B2B">
              <w:rPr>
                <w:rFonts w:ascii="Arial" w:eastAsia="Times New Roman" w:hAnsi="Arial" w:cs="Arial"/>
                <w:iCs/>
                <w:sz w:val="24"/>
                <w:szCs w:val="24"/>
                <w:lang w:val="es-CL"/>
              </w:rPr>
              <w:t>,</w:t>
            </w:r>
            <w:r w:rsidR="00FD3B1F" w:rsidRPr="00A50B2B">
              <w:rPr>
                <w:rFonts w:ascii="Arial" w:eastAsia="Times New Roman" w:hAnsi="Arial" w:cs="Arial"/>
                <w:iCs/>
                <w:sz w:val="24"/>
                <w:szCs w:val="24"/>
                <w:lang w:val="es-CL"/>
              </w:rPr>
              <w:t xml:space="preserve"> no establece en forma expresa y especial un </w:t>
            </w:r>
            <w:r w:rsidR="00F363CE" w:rsidRPr="00A50B2B">
              <w:rPr>
                <w:rFonts w:ascii="Arial" w:eastAsia="Times New Roman" w:hAnsi="Arial" w:cs="Arial"/>
                <w:iCs/>
                <w:sz w:val="24"/>
                <w:szCs w:val="24"/>
              </w:rPr>
              <w:t>c</w:t>
            </w:r>
            <w:r w:rsidR="00FD3B1F" w:rsidRPr="00A50B2B">
              <w:rPr>
                <w:rFonts w:ascii="Arial" w:eastAsia="Times New Roman" w:hAnsi="Arial" w:cs="Arial"/>
                <w:iCs/>
                <w:sz w:val="24"/>
                <w:szCs w:val="24"/>
              </w:rPr>
              <w:t>riterio diferencial de accesibilidad, a diferencia de lo que ocurre en el derecho comparado.</w:t>
            </w:r>
            <w:r w:rsidR="00F363CE" w:rsidRPr="00A50B2B">
              <w:rPr>
                <w:rFonts w:ascii="Arial" w:eastAsia="Times New Roman" w:hAnsi="Arial" w:cs="Arial"/>
                <w:iCs/>
                <w:sz w:val="24"/>
                <w:szCs w:val="24"/>
              </w:rPr>
              <w:t xml:space="preserve"> </w:t>
            </w:r>
            <w:r w:rsidR="000802B2" w:rsidRPr="00A50B2B">
              <w:rPr>
                <w:rFonts w:ascii="Arial" w:eastAsia="Times New Roman" w:hAnsi="Arial" w:cs="Arial"/>
                <w:iCs/>
                <w:sz w:val="24"/>
                <w:szCs w:val="24"/>
              </w:rPr>
              <w:t>En este sentido,</w:t>
            </w:r>
            <w:r w:rsidR="00F363CE" w:rsidRPr="00A50B2B">
              <w:rPr>
                <w:rFonts w:ascii="Arial" w:eastAsia="Times New Roman" w:hAnsi="Arial" w:cs="Arial"/>
                <w:iCs/>
                <w:sz w:val="24"/>
                <w:szCs w:val="24"/>
              </w:rPr>
              <w:t xml:space="preserve"> como se puede apreciar, </w:t>
            </w:r>
            <w:r w:rsidR="00536D6C">
              <w:rPr>
                <w:rFonts w:ascii="Arial" w:eastAsia="Times New Roman" w:hAnsi="Arial" w:cs="Arial"/>
                <w:iCs/>
                <w:sz w:val="24"/>
                <w:szCs w:val="24"/>
              </w:rPr>
              <w:t xml:space="preserve">si bien </w:t>
            </w:r>
            <w:r w:rsidR="00F363CE" w:rsidRPr="00A50B2B">
              <w:rPr>
                <w:rFonts w:ascii="Arial" w:eastAsia="Times New Roman" w:hAnsi="Arial" w:cs="Arial"/>
                <w:iCs/>
                <w:sz w:val="24"/>
                <w:szCs w:val="24"/>
              </w:rPr>
              <w:t>el Consejo ha promovido criterios diferenciadores, una modificación legislativa en este sentido, daría una mayor visibilidad y eficacia a este valor jurídico.</w:t>
            </w:r>
            <w:r w:rsidR="00FD3B1F" w:rsidRPr="00A50B2B">
              <w:rPr>
                <w:rFonts w:ascii="Arial" w:eastAsia="Times New Roman" w:hAnsi="Arial" w:cs="Arial"/>
                <w:iCs/>
                <w:sz w:val="24"/>
                <w:szCs w:val="24"/>
              </w:rPr>
              <w:t xml:space="preserve"> </w:t>
            </w:r>
          </w:p>
          <w:p w14:paraId="286FD8B9" w14:textId="77777777" w:rsidR="00D344F6" w:rsidRPr="00A50B2B" w:rsidRDefault="00D344F6" w:rsidP="00D344F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8F4832" w14:paraId="2A1E7FD4"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75A50288"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14:paraId="565F2101" w14:textId="77777777"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14:paraId="1A81F81C" w14:textId="77777777" w:rsidR="00C82BB7" w:rsidRPr="00A50B2B" w:rsidRDefault="004724A5" w:rsidP="009C648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r w:rsidRPr="00A50B2B">
              <w:rPr>
                <w:rFonts w:ascii="Arial" w:eastAsia="Times New Roman" w:hAnsi="Arial" w:cs="Arial"/>
                <w:iCs/>
                <w:sz w:val="24"/>
                <w:szCs w:val="24"/>
                <w:lang w:val="es-MX"/>
              </w:rPr>
              <w:t xml:space="preserve">La Corte de Apelaciones de Santiago, en la causal Rol N° </w:t>
            </w:r>
            <w:r w:rsidR="00FC7818" w:rsidRPr="00A50B2B">
              <w:rPr>
                <w:rFonts w:ascii="Arial" w:eastAsia="Times New Roman" w:hAnsi="Arial" w:cs="Arial"/>
                <w:iCs/>
                <w:sz w:val="24"/>
                <w:szCs w:val="24"/>
                <w:lang w:val="es-MX"/>
              </w:rPr>
              <w:t>12.934</w:t>
            </w:r>
            <w:r w:rsidR="003672E1" w:rsidRPr="00A50B2B">
              <w:rPr>
                <w:rFonts w:ascii="Arial" w:eastAsia="Times New Roman" w:hAnsi="Arial" w:cs="Arial"/>
                <w:iCs/>
                <w:sz w:val="24"/>
                <w:szCs w:val="24"/>
                <w:lang w:val="es-MX"/>
              </w:rPr>
              <w:t xml:space="preserve"> - 2016</w:t>
            </w:r>
            <w:r w:rsidR="00FC7818" w:rsidRPr="00A50B2B">
              <w:rPr>
                <w:rFonts w:ascii="Arial" w:eastAsia="Times New Roman" w:hAnsi="Arial" w:cs="Arial"/>
                <w:iCs/>
                <w:sz w:val="24"/>
                <w:szCs w:val="24"/>
                <w:lang w:val="es-MX"/>
              </w:rPr>
              <w:t xml:space="preserve"> </w:t>
            </w:r>
            <w:r w:rsidR="003672E1" w:rsidRPr="00A50B2B">
              <w:rPr>
                <w:rFonts w:ascii="Arial" w:eastAsia="Times New Roman" w:hAnsi="Arial" w:cs="Arial"/>
                <w:iCs/>
                <w:sz w:val="24"/>
                <w:szCs w:val="24"/>
                <w:lang w:val="es-MX"/>
              </w:rPr>
              <w:t>(</w:t>
            </w:r>
            <w:r w:rsidR="00FC7818" w:rsidRPr="00A50B2B">
              <w:rPr>
                <w:rFonts w:ascii="Arial" w:eastAsia="Times New Roman" w:hAnsi="Arial" w:cs="Arial"/>
                <w:iCs/>
                <w:sz w:val="24"/>
                <w:szCs w:val="24"/>
                <w:lang w:val="es-MX"/>
              </w:rPr>
              <w:t>que recayó sobre la decisión del Consejo Rol N° C2196-16</w:t>
            </w:r>
            <w:r w:rsidR="003672E1" w:rsidRPr="00A50B2B">
              <w:rPr>
                <w:rFonts w:ascii="Arial" w:eastAsia="Times New Roman" w:hAnsi="Arial" w:cs="Arial"/>
                <w:iCs/>
                <w:sz w:val="24"/>
                <w:szCs w:val="24"/>
                <w:lang w:val="es-MX"/>
              </w:rPr>
              <w:t>)</w:t>
            </w:r>
            <w:r w:rsidR="00FC7818" w:rsidRPr="00A50B2B">
              <w:rPr>
                <w:rFonts w:ascii="Arial" w:eastAsia="Times New Roman" w:hAnsi="Arial" w:cs="Arial"/>
                <w:iCs/>
                <w:sz w:val="24"/>
                <w:szCs w:val="24"/>
                <w:lang w:val="es-MX"/>
              </w:rPr>
              <w:t>,</w:t>
            </w:r>
            <w:r w:rsidR="009F5115" w:rsidRPr="00A50B2B">
              <w:rPr>
                <w:rFonts w:ascii="Arial" w:eastAsia="Times New Roman" w:hAnsi="Arial" w:cs="Arial"/>
                <w:iCs/>
                <w:sz w:val="24"/>
                <w:szCs w:val="24"/>
                <w:lang w:val="es-MX"/>
              </w:rPr>
              <w:t xml:space="preserve"> confirmó lo resuelto por el Consejo, en orden a obtener</w:t>
            </w:r>
            <w:r w:rsidR="00FC7818" w:rsidRPr="00A50B2B">
              <w:rPr>
                <w:rFonts w:ascii="Arial" w:eastAsia="Times New Roman" w:hAnsi="Arial" w:cs="Arial"/>
                <w:iCs/>
                <w:sz w:val="24"/>
                <w:szCs w:val="24"/>
                <w:lang w:val="es-MX"/>
              </w:rPr>
              <w:t xml:space="preserve"> la entrega de informes de avances de una determinada concesión geotérmica</w:t>
            </w:r>
            <w:r w:rsidR="009F5115" w:rsidRPr="00A50B2B">
              <w:rPr>
                <w:rFonts w:ascii="Arial" w:eastAsia="Times New Roman" w:hAnsi="Arial" w:cs="Arial"/>
                <w:iCs/>
                <w:sz w:val="24"/>
                <w:szCs w:val="24"/>
                <w:lang w:val="es-MX"/>
              </w:rPr>
              <w:t xml:space="preserve"> al Ministerio de Energ</w:t>
            </w:r>
            <w:r w:rsidR="00B34F50" w:rsidRPr="00A50B2B">
              <w:rPr>
                <w:rFonts w:ascii="Arial" w:eastAsia="Times New Roman" w:hAnsi="Arial" w:cs="Arial"/>
                <w:iCs/>
                <w:sz w:val="24"/>
                <w:szCs w:val="24"/>
                <w:lang w:val="es-MX"/>
              </w:rPr>
              <w:t>ía, que había solicitado</w:t>
            </w:r>
            <w:r w:rsidR="00FC7818" w:rsidRPr="00A50B2B">
              <w:rPr>
                <w:rFonts w:ascii="Arial" w:eastAsia="Times New Roman" w:hAnsi="Arial" w:cs="Arial"/>
                <w:iCs/>
                <w:sz w:val="24"/>
                <w:szCs w:val="24"/>
                <w:lang w:val="es-MX"/>
              </w:rPr>
              <w:t xml:space="preserve"> </w:t>
            </w:r>
            <w:r w:rsidR="003672E1" w:rsidRPr="00A50B2B">
              <w:rPr>
                <w:rFonts w:ascii="Arial" w:eastAsia="Times New Roman" w:hAnsi="Arial" w:cs="Arial"/>
                <w:iCs/>
                <w:sz w:val="24"/>
                <w:szCs w:val="24"/>
                <w:lang w:val="es-MX"/>
              </w:rPr>
              <w:t>una persona</w:t>
            </w:r>
            <w:r w:rsidR="00E173D8" w:rsidRPr="00A50B2B">
              <w:rPr>
                <w:rFonts w:ascii="Arial" w:eastAsia="Times New Roman" w:hAnsi="Arial" w:cs="Arial"/>
                <w:iCs/>
                <w:sz w:val="24"/>
                <w:szCs w:val="24"/>
                <w:lang w:val="es-MX"/>
              </w:rPr>
              <w:t xml:space="preserve"> </w:t>
            </w:r>
            <w:r w:rsidR="003672E1" w:rsidRPr="00A50B2B">
              <w:rPr>
                <w:rFonts w:ascii="Arial" w:eastAsia="Times New Roman" w:hAnsi="Arial" w:cs="Arial"/>
                <w:iCs/>
                <w:sz w:val="24"/>
                <w:szCs w:val="24"/>
                <w:lang w:val="es-CL"/>
              </w:rPr>
              <w:t xml:space="preserve">en conjunto con los representantes aymarás de la comunidad indígena </w:t>
            </w:r>
            <w:r w:rsidR="009C648E" w:rsidRPr="00A50B2B">
              <w:rPr>
                <w:rFonts w:ascii="Arial" w:eastAsia="Times New Roman" w:hAnsi="Arial" w:cs="Arial"/>
                <w:iCs/>
                <w:sz w:val="24"/>
                <w:szCs w:val="24"/>
                <w:lang w:val="es-CL"/>
              </w:rPr>
              <w:t>del Pueblo de Tacora</w:t>
            </w:r>
            <w:r w:rsidR="00A70747" w:rsidRPr="00A50B2B">
              <w:rPr>
                <w:rFonts w:ascii="Arial" w:eastAsia="Times New Roman" w:hAnsi="Arial" w:cs="Arial"/>
                <w:iCs/>
                <w:sz w:val="24"/>
                <w:szCs w:val="24"/>
                <w:lang w:val="es-CL"/>
              </w:rPr>
              <w:t xml:space="preserve">. </w:t>
            </w:r>
          </w:p>
          <w:p w14:paraId="07180E5C" w14:textId="77777777" w:rsidR="00C82BB7" w:rsidRPr="00A50B2B" w:rsidRDefault="00C82BB7" w:rsidP="009C648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p>
          <w:p w14:paraId="40EB9E23" w14:textId="77777777" w:rsidR="009E2A68" w:rsidRPr="00A50B2B" w:rsidRDefault="00A70747" w:rsidP="00490AE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CL"/>
              </w:rPr>
            </w:pPr>
            <w:r w:rsidRPr="00A50B2B">
              <w:rPr>
                <w:rFonts w:ascii="Arial" w:eastAsia="Times New Roman" w:hAnsi="Arial" w:cs="Arial"/>
                <w:iCs/>
                <w:sz w:val="24"/>
                <w:szCs w:val="24"/>
                <w:lang w:val="es-CL"/>
              </w:rPr>
              <w:t xml:space="preserve">En el considerando décimo octavo </w:t>
            </w:r>
            <w:r w:rsidR="00C82BB7" w:rsidRPr="00A50B2B">
              <w:rPr>
                <w:rFonts w:ascii="Arial" w:eastAsia="Times New Roman" w:hAnsi="Arial" w:cs="Arial"/>
                <w:iCs/>
                <w:sz w:val="24"/>
                <w:szCs w:val="24"/>
                <w:lang w:val="es-CL"/>
              </w:rPr>
              <w:t xml:space="preserve">de dicha sentencia, teniéndose presente la condición de grupos indígenas de los solicitantes, se indicó lo siguiente: </w:t>
            </w:r>
            <w:r w:rsidR="00490AE1" w:rsidRPr="00A50B2B">
              <w:rPr>
                <w:rFonts w:ascii="Arial" w:eastAsia="Times New Roman" w:hAnsi="Arial" w:cs="Arial"/>
                <w:iCs/>
                <w:sz w:val="24"/>
                <w:szCs w:val="24"/>
                <w:lang w:val="es-CL"/>
              </w:rPr>
              <w:t>“</w:t>
            </w:r>
            <w:r w:rsidR="00C82BB7" w:rsidRPr="00A50B2B">
              <w:rPr>
                <w:rFonts w:ascii="Arial" w:eastAsia="Times New Roman" w:hAnsi="Arial" w:cs="Arial"/>
                <w:i/>
                <w:iCs/>
                <w:sz w:val="24"/>
                <w:szCs w:val="24"/>
                <w:lang w:val="es-CL"/>
              </w:rPr>
              <w:t>Que como argumento la reclamada también ha sustentado su decisión en la necesidad de un control social; ello se comparte por esta Corte, pues no debe olvidarse que la concesión se entrega respecto de un bien de propiedad del Estado, como es la energía geotérmica y, consecuentemente, corresponde que, conforme a su naturaleza, exista un control social por el interés público comprometido, lo anterior se corrobora con la presentación de quien ha solicitado la</w:t>
            </w:r>
            <w:r w:rsidR="00490AE1" w:rsidRPr="00A50B2B">
              <w:rPr>
                <w:rFonts w:ascii="MSungGB-Light" w:hAnsi="MSungGB-Light" w:cs="MSungGB-Light"/>
                <w:i/>
                <w:sz w:val="28"/>
                <w:szCs w:val="28"/>
                <w:lang w:val="es-CL"/>
              </w:rPr>
              <w:t xml:space="preserve"> </w:t>
            </w:r>
            <w:r w:rsidR="00490AE1" w:rsidRPr="00A50B2B">
              <w:rPr>
                <w:rFonts w:ascii="Arial" w:eastAsia="Times New Roman" w:hAnsi="Arial" w:cs="Arial"/>
                <w:i/>
                <w:iCs/>
                <w:sz w:val="24"/>
                <w:szCs w:val="24"/>
                <w:lang w:val="es-CL"/>
              </w:rPr>
              <w:t>información, actuando en representación de pueblos originarios, específicamente aymarás, ya que serían los presuntamente afectados con las medidas administrativas en las entregas de las concesiones y que la información solicitada no se ha hecho en el marco de un interés de índole comercial sino en el marco de una Consulta a tales Pueblos Originarios de acuerdo con el Convenio N° 169</w:t>
            </w:r>
            <w:r w:rsidR="00490AE1" w:rsidRPr="00A50B2B">
              <w:rPr>
                <w:rFonts w:ascii="Arial" w:eastAsia="Times New Roman" w:hAnsi="Arial" w:cs="Arial"/>
                <w:iCs/>
                <w:sz w:val="24"/>
                <w:szCs w:val="24"/>
                <w:lang w:val="es-CL"/>
              </w:rPr>
              <w:t>”.</w:t>
            </w:r>
          </w:p>
        </w:tc>
      </w:tr>
    </w:tbl>
    <w:p w14:paraId="6F1ABD0F" w14:textId="77777777" w:rsidR="004B612B" w:rsidRPr="008F4832" w:rsidRDefault="004B612B" w:rsidP="008F4832">
      <w:pPr>
        <w:spacing w:after="0"/>
        <w:jc w:val="both"/>
        <w:rPr>
          <w:rFonts w:ascii="Arial" w:hAnsi="Arial" w:cs="Arial"/>
          <w:sz w:val="24"/>
          <w:szCs w:val="24"/>
        </w:rPr>
      </w:pPr>
    </w:p>
    <w:p w14:paraId="6FD3C881" w14:textId="77777777" w:rsidR="00E131FB" w:rsidRPr="008F4832" w:rsidRDefault="00E131FB" w:rsidP="008F4832">
      <w:pPr>
        <w:spacing w:after="0"/>
        <w:jc w:val="both"/>
        <w:rPr>
          <w:rFonts w:ascii="Arial" w:hAnsi="Arial" w:cs="Arial"/>
          <w:sz w:val="24"/>
          <w:szCs w:val="24"/>
        </w:rPr>
      </w:pPr>
    </w:p>
    <w:sectPr w:rsidR="00E131FB" w:rsidRPr="008F4832" w:rsidSect="006720BA">
      <w:headerReference w:type="default" r:id="rId8"/>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CE92B" w14:textId="77777777" w:rsidR="00192E07" w:rsidRDefault="00192E07" w:rsidP="009E2A68">
      <w:pPr>
        <w:spacing w:after="0" w:line="240" w:lineRule="auto"/>
      </w:pPr>
      <w:r>
        <w:separator/>
      </w:r>
    </w:p>
  </w:endnote>
  <w:endnote w:type="continuationSeparator" w:id="0">
    <w:p w14:paraId="42C1DB04" w14:textId="77777777" w:rsidR="00192E07" w:rsidRDefault="00192E07"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MSungGB-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33F7E8C2" w14:textId="77777777"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192E07">
              <w:rPr>
                <w:rFonts w:ascii="Arial" w:hAnsi="Arial" w:cs="Arial"/>
                <w:b/>
                <w:bCs/>
                <w:noProof/>
                <w:sz w:val="18"/>
              </w:rPr>
              <w:t>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192E07">
              <w:rPr>
                <w:rFonts w:ascii="Arial" w:hAnsi="Arial" w:cs="Arial"/>
                <w:b/>
                <w:bCs/>
                <w:noProof/>
                <w:sz w:val="18"/>
              </w:rPr>
              <w:t>1</w:t>
            </w:r>
            <w:r w:rsidRPr="00FF5C3C">
              <w:rPr>
                <w:rFonts w:ascii="Arial" w:hAnsi="Arial" w:cs="Arial"/>
                <w:b/>
                <w:bCs/>
                <w:sz w:val="20"/>
                <w:szCs w:val="24"/>
              </w:rPr>
              <w:fldChar w:fldCharType="end"/>
            </w:r>
          </w:p>
        </w:sdtContent>
      </w:sdt>
    </w:sdtContent>
  </w:sdt>
  <w:p w14:paraId="48A92F85" w14:textId="77777777"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5F3B2" w14:textId="77777777" w:rsidR="00192E07" w:rsidRDefault="00192E07" w:rsidP="009E2A68">
      <w:pPr>
        <w:spacing w:after="0" w:line="240" w:lineRule="auto"/>
      </w:pPr>
      <w:r>
        <w:separator/>
      </w:r>
    </w:p>
  </w:footnote>
  <w:footnote w:type="continuationSeparator" w:id="0">
    <w:p w14:paraId="7509C5C2" w14:textId="77777777" w:rsidR="00192E07" w:rsidRDefault="00192E07" w:rsidP="009E2A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D65A" w14:textId="77777777" w:rsidR="009E2A68" w:rsidRPr="008F4DF4" w:rsidRDefault="009E2A68" w:rsidP="009E2A68">
    <w:pPr>
      <w:spacing w:after="0" w:line="240" w:lineRule="auto"/>
      <w:jc w:val="right"/>
      <w:rPr>
        <w:rFonts w:ascii="Arial" w:hAnsi="Arial" w:cs="Arial"/>
        <w:b/>
        <w:smallCaps/>
      </w:rPr>
    </w:pPr>
    <w:r w:rsidRPr="008F4DF4">
      <w:rPr>
        <w:smallCaps/>
        <w:noProof/>
        <w:lang w:val="es-ES_tradnl" w:eastAsia="es-ES_tradnl"/>
      </w:rPr>
      <w:drawing>
        <wp:anchor distT="0" distB="0" distL="114300" distR="114300" simplePos="0" relativeHeight="251659264" behindDoc="0" locked="0" layoutInCell="1" allowOverlap="1" wp14:anchorId="0A097C35" wp14:editId="28EEC436">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14:paraId="40FE2206" w14:textId="77777777" w:rsidR="009E2A68" w:rsidRPr="008F4DF4" w:rsidRDefault="00E811C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w:t>
    </w:r>
    <w:r w:rsidR="00414DD1">
      <w:rPr>
        <w:rFonts w:ascii="Arial" w:hAnsi="Arial" w:cs="Arial"/>
        <w:smallCaps/>
        <w:sz w:val="24"/>
        <w:szCs w:val="24"/>
      </w:rPr>
      <w:t>osicionamiento</w:t>
    </w:r>
  </w:p>
  <w:p w14:paraId="706C0629" w14:textId="77777777" w:rsidR="009E2A68" w:rsidRDefault="009E2A68" w:rsidP="009E2A68">
    <w:pPr>
      <w:tabs>
        <w:tab w:val="left" w:pos="4950"/>
      </w:tabs>
      <w:spacing w:after="0" w:line="240" w:lineRule="auto"/>
      <w:jc w:val="right"/>
      <w:rPr>
        <w:rFonts w:ascii="Arial" w:hAnsi="Arial" w:cs="Arial"/>
        <w:b/>
        <w:smallCaps/>
        <w:sz w:val="24"/>
        <w:szCs w:val="24"/>
      </w:rPr>
    </w:pPr>
  </w:p>
  <w:p w14:paraId="7B3545C2" w14:textId="77777777"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E811C1">
      <w:rPr>
        <w:rFonts w:ascii="Arial" w:hAnsi="Arial" w:cs="Arial"/>
        <w:b/>
        <w:smallCaps/>
        <w:sz w:val="24"/>
        <w:szCs w:val="24"/>
      </w:rPr>
      <w:t>Sexto</w:t>
    </w:r>
    <w:r w:rsidR="00414DD1">
      <w:rPr>
        <w:rFonts w:ascii="Arial" w:hAnsi="Arial" w:cs="Arial"/>
        <w:b/>
        <w:smallCaps/>
        <w:sz w:val="24"/>
        <w:szCs w:val="24"/>
      </w:rPr>
      <w:t xml:space="preserve"> </w:t>
    </w:r>
    <w:r w:rsidRPr="008F4DF4">
      <w:rPr>
        <w:rFonts w:ascii="Arial" w:hAnsi="Arial" w:cs="Arial"/>
        <w:b/>
        <w:smallCaps/>
        <w:sz w:val="24"/>
        <w:szCs w:val="24"/>
      </w:rPr>
      <w:t>Debate Temático</w:t>
    </w:r>
  </w:p>
  <w:p w14:paraId="45C20ED9" w14:textId="77777777"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2779C8"/>
    <w:multiLevelType w:val="hybridMultilevel"/>
    <w:tmpl w:val="4A1EC13A"/>
    <w:lvl w:ilvl="0" w:tplc="71B8FBC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FB"/>
    <w:rsid w:val="00011955"/>
    <w:rsid w:val="000167E4"/>
    <w:rsid w:val="00020D18"/>
    <w:rsid w:val="000478B8"/>
    <w:rsid w:val="000802B2"/>
    <w:rsid w:val="00097BDE"/>
    <w:rsid w:val="000B51AF"/>
    <w:rsid w:val="000F234E"/>
    <w:rsid w:val="00110E5A"/>
    <w:rsid w:val="00124360"/>
    <w:rsid w:val="00150183"/>
    <w:rsid w:val="00183E20"/>
    <w:rsid w:val="001861D7"/>
    <w:rsid w:val="00190AD0"/>
    <w:rsid w:val="00192E07"/>
    <w:rsid w:val="001F1D8B"/>
    <w:rsid w:val="00202080"/>
    <w:rsid w:val="00231614"/>
    <w:rsid w:val="00287734"/>
    <w:rsid w:val="00297667"/>
    <w:rsid w:val="002C6A7A"/>
    <w:rsid w:val="002D1126"/>
    <w:rsid w:val="002D33CC"/>
    <w:rsid w:val="00301012"/>
    <w:rsid w:val="003043EF"/>
    <w:rsid w:val="00317FA5"/>
    <w:rsid w:val="0033112F"/>
    <w:rsid w:val="0033282F"/>
    <w:rsid w:val="00344C88"/>
    <w:rsid w:val="003468BE"/>
    <w:rsid w:val="00354BA0"/>
    <w:rsid w:val="00360A94"/>
    <w:rsid w:val="003672E1"/>
    <w:rsid w:val="0039462F"/>
    <w:rsid w:val="00396029"/>
    <w:rsid w:val="003A0950"/>
    <w:rsid w:val="003A596B"/>
    <w:rsid w:val="00414DD1"/>
    <w:rsid w:val="0041531A"/>
    <w:rsid w:val="00420E96"/>
    <w:rsid w:val="00436105"/>
    <w:rsid w:val="0045095B"/>
    <w:rsid w:val="004633C9"/>
    <w:rsid w:val="004724A5"/>
    <w:rsid w:val="00486A8A"/>
    <w:rsid w:val="00490AE1"/>
    <w:rsid w:val="004B3E64"/>
    <w:rsid w:val="004B612B"/>
    <w:rsid w:val="004F426F"/>
    <w:rsid w:val="00507E61"/>
    <w:rsid w:val="00521672"/>
    <w:rsid w:val="00522F2C"/>
    <w:rsid w:val="00522F6E"/>
    <w:rsid w:val="00536D6C"/>
    <w:rsid w:val="00540ADC"/>
    <w:rsid w:val="0055506D"/>
    <w:rsid w:val="00577080"/>
    <w:rsid w:val="0059082E"/>
    <w:rsid w:val="00591ED0"/>
    <w:rsid w:val="005941F2"/>
    <w:rsid w:val="005A02B4"/>
    <w:rsid w:val="005C7AAE"/>
    <w:rsid w:val="005E04AA"/>
    <w:rsid w:val="005E7CED"/>
    <w:rsid w:val="00604F37"/>
    <w:rsid w:val="00610350"/>
    <w:rsid w:val="0061563C"/>
    <w:rsid w:val="00622B72"/>
    <w:rsid w:val="006419CB"/>
    <w:rsid w:val="006537AD"/>
    <w:rsid w:val="00653E69"/>
    <w:rsid w:val="006720BA"/>
    <w:rsid w:val="006935C8"/>
    <w:rsid w:val="006B09DA"/>
    <w:rsid w:val="006B0FAF"/>
    <w:rsid w:val="007447C8"/>
    <w:rsid w:val="00787100"/>
    <w:rsid w:val="007C6FA2"/>
    <w:rsid w:val="007D5261"/>
    <w:rsid w:val="007F326D"/>
    <w:rsid w:val="00801EA9"/>
    <w:rsid w:val="00882082"/>
    <w:rsid w:val="008972E8"/>
    <w:rsid w:val="008E056E"/>
    <w:rsid w:val="008E6A79"/>
    <w:rsid w:val="008F4832"/>
    <w:rsid w:val="0090529D"/>
    <w:rsid w:val="009135C2"/>
    <w:rsid w:val="009436FD"/>
    <w:rsid w:val="0095076A"/>
    <w:rsid w:val="00970F79"/>
    <w:rsid w:val="009760E6"/>
    <w:rsid w:val="00993BE9"/>
    <w:rsid w:val="009B4E92"/>
    <w:rsid w:val="009C648E"/>
    <w:rsid w:val="009D1723"/>
    <w:rsid w:val="009D6852"/>
    <w:rsid w:val="009E2A68"/>
    <w:rsid w:val="009E65CF"/>
    <w:rsid w:val="009F5115"/>
    <w:rsid w:val="00A1130F"/>
    <w:rsid w:val="00A27E14"/>
    <w:rsid w:val="00A306CD"/>
    <w:rsid w:val="00A369CD"/>
    <w:rsid w:val="00A369E9"/>
    <w:rsid w:val="00A50B2B"/>
    <w:rsid w:val="00A56498"/>
    <w:rsid w:val="00A63A78"/>
    <w:rsid w:val="00A70747"/>
    <w:rsid w:val="00A801E3"/>
    <w:rsid w:val="00A831CF"/>
    <w:rsid w:val="00A86955"/>
    <w:rsid w:val="00A95D38"/>
    <w:rsid w:val="00AC7955"/>
    <w:rsid w:val="00B00C73"/>
    <w:rsid w:val="00B34F50"/>
    <w:rsid w:val="00B43671"/>
    <w:rsid w:val="00B5167F"/>
    <w:rsid w:val="00B87431"/>
    <w:rsid w:val="00B927E9"/>
    <w:rsid w:val="00B97349"/>
    <w:rsid w:val="00BB3566"/>
    <w:rsid w:val="00BE4C6F"/>
    <w:rsid w:val="00BE702A"/>
    <w:rsid w:val="00C36226"/>
    <w:rsid w:val="00C3692D"/>
    <w:rsid w:val="00C72763"/>
    <w:rsid w:val="00C82A9B"/>
    <w:rsid w:val="00C82BB7"/>
    <w:rsid w:val="00C97855"/>
    <w:rsid w:val="00CB058C"/>
    <w:rsid w:val="00CB3B99"/>
    <w:rsid w:val="00CB49ED"/>
    <w:rsid w:val="00CE50FE"/>
    <w:rsid w:val="00D204D1"/>
    <w:rsid w:val="00D344F6"/>
    <w:rsid w:val="00D46EC0"/>
    <w:rsid w:val="00D65191"/>
    <w:rsid w:val="00DB5F12"/>
    <w:rsid w:val="00E10CD4"/>
    <w:rsid w:val="00E131FB"/>
    <w:rsid w:val="00E173D8"/>
    <w:rsid w:val="00E23674"/>
    <w:rsid w:val="00E64D31"/>
    <w:rsid w:val="00E811C1"/>
    <w:rsid w:val="00E87B49"/>
    <w:rsid w:val="00EB1CAC"/>
    <w:rsid w:val="00EB6623"/>
    <w:rsid w:val="00EB68B0"/>
    <w:rsid w:val="00EF4D59"/>
    <w:rsid w:val="00F11AF9"/>
    <w:rsid w:val="00F246BB"/>
    <w:rsid w:val="00F363CE"/>
    <w:rsid w:val="00F368BA"/>
    <w:rsid w:val="00F45246"/>
    <w:rsid w:val="00F617EE"/>
    <w:rsid w:val="00F64D83"/>
    <w:rsid w:val="00F74F3E"/>
    <w:rsid w:val="00F75691"/>
    <w:rsid w:val="00F90E3D"/>
    <w:rsid w:val="00FC7818"/>
    <w:rsid w:val="00FD1349"/>
    <w:rsid w:val="00FD3B1F"/>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EA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591ED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91ED0"/>
    <w:rPr>
      <w:rFonts w:ascii="Consolas" w:hAnsi="Consolas"/>
      <w:sz w:val="20"/>
      <w:szCs w:val="20"/>
    </w:rPr>
  </w:style>
  <w:style w:type="character" w:styleId="Hipervnculo">
    <w:name w:val="Hyperlink"/>
    <w:basedOn w:val="Fuentedeprrafopredeter"/>
    <w:uiPriority w:val="99"/>
    <w:unhideWhenUsed/>
    <w:rsid w:val="00186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5721">
      <w:bodyDiv w:val="1"/>
      <w:marLeft w:val="0"/>
      <w:marRight w:val="0"/>
      <w:marTop w:val="0"/>
      <w:marBottom w:val="0"/>
      <w:divBdr>
        <w:top w:val="none" w:sz="0" w:space="0" w:color="auto"/>
        <w:left w:val="none" w:sz="0" w:space="0" w:color="auto"/>
        <w:bottom w:val="none" w:sz="0" w:space="0" w:color="auto"/>
        <w:right w:val="none" w:sz="0" w:space="0" w:color="auto"/>
      </w:divBdr>
    </w:div>
    <w:div w:id="361248899">
      <w:bodyDiv w:val="1"/>
      <w:marLeft w:val="0"/>
      <w:marRight w:val="0"/>
      <w:marTop w:val="0"/>
      <w:marBottom w:val="0"/>
      <w:divBdr>
        <w:top w:val="none" w:sz="0" w:space="0" w:color="auto"/>
        <w:left w:val="none" w:sz="0" w:space="0" w:color="auto"/>
        <w:bottom w:val="none" w:sz="0" w:space="0" w:color="auto"/>
        <w:right w:val="none" w:sz="0" w:space="0" w:color="auto"/>
      </w:divBdr>
    </w:div>
    <w:div w:id="604732993">
      <w:bodyDiv w:val="1"/>
      <w:marLeft w:val="0"/>
      <w:marRight w:val="0"/>
      <w:marTop w:val="0"/>
      <w:marBottom w:val="0"/>
      <w:divBdr>
        <w:top w:val="none" w:sz="0" w:space="0" w:color="auto"/>
        <w:left w:val="none" w:sz="0" w:space="0" w:color="auto"/>
        <w:bottom w:val="none" w:sz="0" w:space="0" w:color="auto"/>
        <w:right w:val="none" w:sz="0" w:space="0" w:color="auto"/>
      </w:divBdr>
    </w:div>
    <w:div w:id="632175389">
      <w:bodyDiv w:val="1"/>
      <w:marLeft w:val="0"/>
      <w:marRight w:val="0"/>
      <w:marTop w:val="0"/>
      <w:marBottom w:val="0"/>
      <w:divBdr>
        <w:top w:val="none" w:sz="0" w:space="0" w:color="auto"/>
        <w:left w:val="none" w:sz="0" w:space="0" w:color="auto"/>
        <w:bottom w:val="none" w:sz="0" w:space="0" w:color="auto"/>
        <w:right w:val="none" w:sz="0" w:space="0" w:color="auto"/>
      </w:divBdr>
    </w:div>
    <w:div w:id="744914939">
      <w:bodyDiv w:val="1"/>
      <w:marLeft w:val="0"/>
      <w:marRight w:val="0"/>
      <w:marTop w:val="0"/>
      <w:marBottom w:val="0"/>
      <w:divBdr>
        <w:top w:val="none" w:sz="0" w:space="0" w:color="auto"/>
        <w:left w:val="none" w:sz="0" w:space="0" w:color="auto"/>
        <w:bottom w:val="none" w:sz="0" w:space="0" w:color="auto"/>
        <w:right w:val="none" w:sz="0" w:space="0" w:color="auto"/>
      </w:divBdr>
    </w:div>
    <w:div w:id="1027215865">
      <w:bodyDiv w:val="1"/>
      <w:marLeft w:val="0"/>
      <w:marRight w:val="0"/>
      <w:marTop w:val="0"/>
      <w:marBottom w:val="0"/>
      <w:divBdr>
        <w:top w:val="none" w:sz="0" w:space="0" w:color="auto"/>
        <w:left w:val="none" w:sz="0" w:space="0" w:color="auto"/>
        <w:bottom w:val="none" w:sz="0" w:space="0" w:color="auto"/>
        <w:right w:val="none" w:sz="0" w:space="0" w:color="auto"/>
      </w:divBdr>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898393">
      <w:bodyDiv w:val="1"/>
      <w:marLeft w:val="0"/>
      <w:marRight w:val="0"/>
      <w:marTop w:val="0"/>
      <w:marBottom w:val="0"/>
      <w:divBdr>
        <w:top w:val="none" w:sz="0" w:space="0" w:color="auto"/>
        <w:left w:val="none" w:sz="0" w:space="0" w:color="auto"/>
        <w:bottom w:val="none" w:sz="0" w:space="0" w:color="auto"/>
        <w:right w:val="none" w:sz="0" w:space="0" w:color="auto"/>
      </w:divBdr>
    </w:div>
    <w:div w:id="1453279656">
      <w:bodyDiv w:val="1"/>
      <w:marLeft w:val="0"/>
      <w:marRight w:val="0"/>
      <w:marTop w:val="0"/>
      <w:marBottom w:val="0"/>
      <w:divBdr>
        <w:top w:val="none" w:sz="0" w:space="0" w:color="auto"/>
        <w:left w:val="none" w:sz="0" w:space="0" w:color="auto"/>
        <w:bottom w:val="none" w:sz="0" w:space="0" w:color="auto"/>
        <w:right w:val="none" w:sz="0" w:space="0" w:color="auto"/>
      </w:divBdr>
    </w:div>
    <w:div w:id="1563372276">
      <w:bodyDiv w:val="1"/>
      <w:marLeft w:val="0"/>
      <w:marRight w:val="0"/>
      <w:marTop w:val="0"/>
      <w:marBottom w:val="0"/>
      <w:divBdr>
        <w:top w:val="none" w:sz="0" w:space="0" w:color="auto"/>
        <w:left w:val="none" w:sz="0" w:space="0" w:color="auto"/>
        <w:bottom w:val="none" w:sz="0" w:space="0" w:color="auto"/>
        <w:right w:val="none" w:sz="0" w:space="0" w:color="auto"/>
      </w:divBdr>
    </w:div>
    <w:div w:id="1578125834">
      <w:bodyDiv w:val="1"/>
      <w:marLeft w:val="0"/>
      <w:marRight w:val="0"/>
      <w:marTop w:val="0"/>
      <w:marBottom w:val="0"/>
      <w:divBdr>
        <w:top w:val="none" w:sz="0" w:space="0" w:color="auto"/>
        <w:left w:val="none" w:sz="0" w:space="0" w:color="auto"/>
        <w:bottom w:val="none" w:sz="0" w:space="0" w:color="auto"/>
        <w:right w:val="none" w:sz="0" w:space="0" w:color="auto"/>
      </w:divBdr>
    </w:div>
    <w:div w:id="20223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ducatransparencia.cl/"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AC475AFB66A43B2316B05CBFB6904" ma:contentTypeVersion="3" ma:contentTypeDescription="Create a new document." ma:contentTypeScope="" ma:versionID="4139860efa336fdac60ffdd0976e5329">
  <xsd:schema xmlns:xsd="http://www.w3.org/2001/XMLSchema" xmlns:xs="http://www.w3.org/2001/XMLSchema" xmlns:p="http://schemas.microsoft.com/office/2006/metadata/properties" xmlns:ns2="f4d36732-e6c1-4d35-a74a-a5258d763a75" targetNamespace="http://schemas.microsoft.com/office/2006/metadata/properties" ma:root="true" ma:fieldsID="a36c1ff8dc0ca6855a66dd9a84a93f40"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B8955C13-D142-4CE2-9DD4-7B9292492757}"/>
</file>

<file path=customXml/itemProps2.xml><?xml version="1.0" encoding="utf-8"?>
<ds:datastoreItem xmlns:ds="http://schemas.openxmlformats.org/officeDocument/2006/customXml" ds:itemID="{4580C432-A61F-45C6-8598-0D24F4B07C41}"/>
</file>

<file path=customXml/itemProps3.xml><?xml version="1.0" encoding="utf-8"?>
<ds:datastoreItem xmlns:ds="http://schemas.openxmlformats.org/officeDocument/2006/customXml" ds:itemID="{A69BAEEC-AC2B-4337-ABB0-FC7E612A638A}"/>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10757</Characters>
  <Application>Microsoft Macintosh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David Ibaceta Medina</cp:lastModifiedBy>
  <cp:revision>2</cp:revision>
  <cp:lastPrinted>2017-10-10T19:42:00Z</cp:lastPrinted>
  <dcterms:created xsi:type="dcterms:W3CDTF">2017-10-11T11:18:00Z</dcterms:created>
  <dcterms:modified xsi:type="dcterms:W3CDTF">2017-10-11T11:18:00Z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y fmtid="{D5CDD505-2E9C-101B-9397-08002B2CF9AE}" pid="3" name="TaxKeyword">
    <vt:lpwstr/>
  </property>
</Properties>
</file>