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2B" w:rsidRPr="008F4832" w:rsidRDefault="004B612B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31FB" w:rsidRPr="009E2A68" w:rsidRDefault="00E131FB" w:rsidP="008F483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mallCaps/>
          <w:sz w:val="24"/>
          <w:szCs w:val="24"/>
        </w:rPr>
      </w:pPr>
      <w:r w:rsidRPr="009E2A68">
        <w:rPr>
          <w:rFonts w:ascii="Arial" w:hAnsi="Arial" w:cs="Arial"/>
          <w:b/>
          <w:smallCaps/>
          <w:sz w:val="24"/>
          <w:szCs w:val="24"/>
        </w:rPr>
        <w:t>Procedimiento para las conclusiones</w:t>
      </w:r>
      <w:r w:rsidR="0033282F" w:rsidRPr="009E2A68">
        <w:rPr>
          <w:rFonts w:ascii="Arial" w:hAnsi="Arial" w:cs="Arial"/>
          <w:b/>
          <w:smallCaps/>
          <w:sz w:val="24"/>
          <w:szCs w:val="24"/>
        </w:rPr>
        <w:t>:</w:t>
      </w:r>
    </w:p>
    <w:p w:rsidR="00882082" w:rsidRPr="008F4832" w:rsidRDefault="00882082" w:rsidP="008F483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82082" w:rsidRPr="008F4832" w:rsidRDefault="00882082" w:rsidP="008F48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4832">
        <w:rPr>
          <w:rFonts w:ascii="Arial" w:hAnsi="Arial" w:cs="Arial"/>
          <w:sz w:val="24"/>
          <w:szCs w:val="24"/>
        </w:rPr>
        <w:t xml:space="preserve">Una vez que se tenga la información </w:t>
      </w:r>
      <w:r w:rsidR="00F617EE" w:rsidRPr="008F4832">
        <w:rPr>
          <w:rFonts w:ascii="Arial" w:hAnsi="Arial" w:cs="Arial"/>
          <w:sz w:val="24"/>
          <w:szCs w:val="24"/>
        </w:rPr>
        <w:t>de todos los países</w:t>
      </w:r>
      <w:r w:rsidR="00097BDE" w:rsidRPr="008F4832">
        <w:rPr>
          <w:rFonts w:ascii="Arial" w:hAnsi="Arial" w:cs="Arial"/>
          <w:sz w:val="24"/>
          <w:szCs w:val="24"/>
        </w:rPr>
        <w:t xml:space="preserve">, </w:t>
      </w:r>
      <w:r w:rsidRPr="008F4832">
        <w:rPr>
          <w:rFonts w:ascii="Arial" w:hAnsi="Arial" w:cs="Arial"/>
          <w:sz w:val="24"/>
          <w:szCs w:val="24"/>
        </w:rPr>
        <w:t xml:space="preserve">cada </w:t>
      </w:r>
      <w:r w:rsidR="00097BDE" w:rsidRPr="008F4832">
        <w:rPr>
          <w:rFonts w:ascii="Arial" w:hAnsi="Arial" w:cs="Arial"/>
          <w:sz w:val="24"/>
          <w:szCs w:val="24"/>
        </w:rPr>
        <w:t>uno de ellos</w:t>
      </w:r>
      <w:r w:rsidRPr="008F4832">
        <w:rPr>
          <w:rFonts w:ascii="Arial" w:hAnsi="Arial" w:cs="Arial"/>
          <w:sz w:val="24"/>
          <w:szCs w:val="24"/>
        </w:rPr>
        <w:t xml:space="preserve"> deberá emitir sus propias conclusiones y proponer una conclusión general para el Grupo</w:t>
      </w:r>
      <w:r w:rsidR="00F617EE" w:rsidRPr="008F4832">
        <w:rPr>
          <w:rFonts w:ascii="Arial" w:hAnsi="Arial" w:cs="Arial"/>
          <w:sz w:val="24"/>
          <w:szCs w:val="24"/>
        </w:rPr>
        <w:t xml:space="preserve"> de Jurisprudencia </w:t>
      </w:r>
      <w:r w:rsidR="0055506D">
        <w:rPr>
          <w:rFonts w:ascii="Arial" w:hAnsi="Arial" w:cs="Arial"/>
          <w:sz w:val="24"/>
          <w:szCs w:val="24"/>
        </w:rPr>
        <w:t>y Criterios Administrativos</w:t>
      </w:r>
      <w:r w:rsidRPr="008F4832">
        <w:rPr>
          <w:rFonts w:ascii="Arial" w:hAnsi="Arial" w:cs="Arial"/>
          <w:sz w:val="24"/>
          <w:szCs w:val="24"/>
        </w:rPr>
        <w:t>.</w:t>
      </w:r>
    </w:p>
    <w:p w:rsidR="00882082" w:rsidRPr="008F4832" w:rsidRDefault="00882082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2082" w:rsidRPr="008F4832" w:rsidRDefault="0055506D" w:rsidP="008F48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97BDE" w:rsidRPr="008F4832">
        <w:rPr>
          <w:rFonts w:ascii="Arial" w:hAnsi="Arial" w:cs="Arial"/>
          <w:sz w:val="24"/>
          <w:szCs w:val="24"/>
        </w:rPr>
        <w:t>l INAI</w:t>
      </w:r>
      <w:r w:rsidR="00882082" w:rsidRPr="008F48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como moderador del Debate,</w:t>
      </w:r>
      <w:r w:rsidR="00882082" w:rsidRPr="008F4832">
        <w:rPr>
          <w:rFonts w:ascii="Arial" w:hAnsi="Arial" w:cs="Arial"/>
          <w:sz w:val="24"/>
          <w:szCs w:val="24"/>
        </w:rPr>
        <w:t xml:space="preserve"> elaborará un análisis de todas las propuestas y emitirá un criterio </w:t>
      </w:r>
      <w:r w:rsidR="00F617EE" w:rsidRPr="008F4832">
        <w:rPr>
          <w:rFonts w:ascii="Arial" w:hAnsi="Arial" w:cs="Arial"/>
          <w:sz w:val="24"/>
          <w:szCs w:val="24"/>
        </w:rPr>
        <w:t xml:space="preserve">único </w:t>
      </w:r>
      <w:r w:rsidR="00882082" w:rsidRPr="008F4832">
        <w:rPr>
          <w:rFonts w:ascii="Arial" w:hAnsi="Arial" w:cs="Arial"/>
          <w:sz w:val="24"/>
          <w:szCs w:val="24"/>
        </w:rPr>
        <w:t xml:space="preserve">que enviará </w:t>
      </w:r>
      <w:r>
        <w:rPr>
          <w:rFonts w:ascii="Arial" w:hAnsi="Arial" w:cs="Arial"/>
          <w:sz w:val="24"/>
          <w:szCs w:val="24"/>
        </w:rPr>
        <w:t>a consideración de</w:t>
      </w:r>
      <w:r w:rsidR="00882082" w:rsidRPr="008F4832">
        <w:rPr>
          <w:rFonts w:ascii="Arial" w:hAnsi="Arial" w:cs="Arial"/>
          <w:sz w:val="24"/>
          <w:szCs w:val="24"/>
        </w:rPr>
        <w:t xml:space="preserve"> los países miembros para </w:t>
      </w:r>
      <w:r w:rsidR="005E04AA" w:rsidRPr="008F4832">
        <w:rPr>
          <w:rFonts w:ascii="Arial" w:hAnsi="Arial" w:cs="Arial"/>
          <w:sz w:val="24"/>
          <w:szCs w:val="24"/>
        </w:rPr>
        <w:t xml:space="preserve">reflejar la posición que tiene el grupo en </w:t>
      </w:r>
      <w:r>
        <w:rPr>
          <w:rFonts w:ascii="Arial" w:hAnsi="Arial" w:cs="Arial"/>
          <w:sz w:val="24"/>
          <w:szCs w:val="24"/>
        </w:rPr>
        <w:t>el</w:t>
      </w:r>
      <w:r w:rsidR="005E04AA" w:rsidRPr="008F4832">
        <w:rPr>
          <w:rFonts w:ascii="Arial" w:hAnsi="Arial" w:cs="Arial"/>
          <w:sz w:val="24"/>
          <w:szCs w:val="24"/>
        </w:rPr>
        <w:t xml:space="preserve"> tema</w:t>
      </w:r>
      <w:r w:rsidR="00882082" w:rsidRPr="008F4832">
        <w:rPr>
          <w:rFonts w:ascii="Arial" w:hAnsi="Arial" w:cs="Arial"/>
          <w:sz w:val="24"/>
          <w:szCs w:val="24"/>
        </w:rPr>
        <w:t xml:space="preserve">. </w:t>
      </w:r>
    </w:p>
    <w:p w:rsidR="0033282F" w:rsidRPr="006720BA" w:rsidRDefault="0033282F" w:rsidP="006720BA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tbl>
      <w:tblPr>
        <w:tblStyle w:val="ListaClara-nfase2"/>
        <w:tblW w:w="5005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359"/>
        <w:gridCol w:w="11045"/>
      </w:tblGrid>
      <w:tr w:rsidR="00882082" w:rsidRPr="008F4832" w:rsidTr="00B43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365F91" w:themeFill="accent1" w:themeFillShade="BF"/>
            <w:vAlign w:val="center"/>
          </w:tcPr>
          <w:p w:rsidR="00882082" w:rsidRPr="00E10CD4" w:rsidRDefault="00B43402" w:rsidP="00E10CD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E811C1">
              <w:rPr>
                <w:rFonts w:ascii="Arial" w:eastAsia="Times New Roman" w:hAnsi="Arial" w:cs="Arial"/>
                <w:iCs/>
                <w:smallCaps/>
                <w:sz w:val="24"/>
                <w:szCs w:val="24"/>
              </w:rPr>
              <w:t>Criterio Diferencial en el Derecho al Acceso a la Información Pública</w:t>
            </w:r>
          </w:p>
        </w:tc>
      </w:tr>
      <w:tr w:rsidR="002963F9" w:rsidRPr="008F4832" w:rsidTr="00B4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963F9" w:rsidRPr="009E2A68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Elementos a destacar sobre el posicionamiento de otros países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63F9" w:rsidRPr="002963F9" w:rsidRDefault="00B43402" w:rsidP="00B434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B43402"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Brasil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9064FB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BF7AC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---</w:t>
            </w:r>
          </w:p>
        </w:tc>
      </w:tr>
      <w:tr w:rsidR="00123C94" w:rsidRPr="008F4832" w:rsidTr="00B43402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123C94" w:rsidRDefault="00123C94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136C76" w:rsidRDefault="00B43402" w:rsidP="00C77F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Chile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C77FA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En Brasil, 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</w:t>
            </w:r>
            <w:r w:rsidR="00136C76" w:rsidRP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 Ministerio de Transparencia y Contraloría General de la Unión (CGU)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10047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desarrolla mecanismos de </w:t>
            </w:r>
            <w:r w:rsidR="00C77FA1" w:rsidRPr="00C77FA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promo</w:t>
            </w:r>
            <w:r w:rsidR="0010047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ción de oidoría activa con la sociedad civil, incluso en acciones globales promovidas en zonas populares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y en escuelas públicas</w:t>
            </w:r>
            <w:r w:rsidR="0010047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, y 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desarrolla mayor </w:t>
            </w:r>
            <w:r w:rsidR="0010047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integración de sistemas en ámbito federativo para mejor coordinar con otras actividades de oidoría y otros 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entes estatales – e-</w:t>
            </w:r>
            <w:proofErr w:type="spellStart"/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Ouv</w:t>
            </w:r>
            <w:proofErr w:type="spellEnd"/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Municipios.</w:t>
            </w:r>
            <w:r w:rsidR="0010047D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</w:p>
          <w:p w:rsidR="00136C76" w:rsidRDefault="00136C76" w:rsidP="00C77F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136C76" w:rsidRDefault="00136C76" w:rsidP="00C77F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 CGU,</w:t>
            </w:r>
            <w:r w:rsidRP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en iniciativa inédita, ha promovido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también </w:t>
            </w:r>
            <w:r w:rsidRP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en el año de 2017, durante la 26ª edición de la Acción Global, la ampliación del conocimiento de la población, de todas las clases sociales, edades, géneros, etnias y condiciones, sobre mecanismos de participación social para la mejora de la gestión pública. Las Oidorías Públicas prestaron un total de 11.662 atendimientos a ciudadanos en todo Brasil, durante la 26ª edición de la Acción Global. El balance se refiere al número general de orientaciones proporcionadas, recogimiento de manifestaciones (denuncias, reclamaciones y solicitudes sobre servicios públicos) y solicitudes de acceso a la información - en las esferas federal, estadual, distrital y municipal. </w:t>
            </w:r>
          </w:p>
          <w:p w:rsidR="00136C76" w:rsidRPr="00C77FA1" w:rsidRDefault="00136C76" w:rsidP="00C77F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123C94" w:rsidRPr="002963F9" w:rsidRDefault="0070671A" w:rsidP="00C77F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Sobre eso, t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enemos interés en conocer sobre c</w:t>
            </w:r>
            <w:r w:rsidR="00C77FA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uáles son las políticas establecidas en CPLT de Chile a efecto de garantizar el criterio diferencial de acceso a la información a grupos minoritarios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  <w:r w:rsid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lastRenderedPageBreak/>
              <w:t xml:space="preserve">Gustaríamos de conocer </w:t>
            </w:r>
            <w:r w:rsidR="00F92313" w:rsidRP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 Guía de Accesibilidad para discapacitados en sitios web</w:t>
            </w:r>
            <w:r w:rsid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que mencionarán en la ficha de posicionamiento de CPLT de Chile. </w:t>
            </w:r>
          </w:p>
        </w:tc>
      </w:tr>
      <w:tr w:rsidR="002963F9" w:rsidRPr="008F4832" w:rsidTr="00B4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963F9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63F9" w:rsidRPr="002963F9" w:rsidRDefault="00B43402" w:rsidP="00B434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Colombia</w:t>
            </w:r>
            <w:r w:rsidR="002963F9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BF7AC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Tenemos interés en conocer sobre c</w:t>
            </w:r>
            <w:r w:rsidR="00BF7AC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uáles son las políticas establecidas en Colombia a efecto de implantar la </w:t>
            </w:r>
            <w:r w:rsidR="00BF7AC2" w:rsidRPr="00BF7AC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Ley 82 de 1993</w:t>
            </w:r>
            <w:r w:rsidR="00BF7AC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, para apoyar de manera especial a la mujer cabeza de familiar, especialmente cuanto a garantizar la transparencia y el derecho de acceso a la información para ellas</w:t>
            </w:r>
            <w:r w:rsidR="00136C76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  <w:r w:rsidR="00BF7AC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 </w:t>
            </w:r>
          </w:p>
        </w:tc>
      </w:tr>
      <w:tr w:rsidR="002963F9" w:rsidRPr="008F4832" w:rsidTr="00B4340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2963F9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FD135F" w:rsidRPr="000B2BC0" w:rsidRDefault="00B43402" w:rsidP="00FD13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México</w:t>
            </w:r>
            <w:r w:rsidR="002963F9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FD135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Así como en México, la ley en Brasil requiere que e</w:t>
            </w:r>
            <w:r w:rsidR="00FD135F" w:rsidRP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 lenguaje utilizado en las respuestas a las solicitudes de acceso a la información debe buscar al máximo</w:t>
            </w:r>
            <w:r w:rsidR="00FD135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FD135F" w:rsidRP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el acercamiento entre la Administración Pública y el ciudadano. Para ello, es importante que la información</w:t>
            </w:r>
            <w:r w:rsidR="00FD135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FD135F" w:rsidRP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ofrecida por el emisor sea clara y concisa, de manera a posibilitar la comprensión del mensaje de forma si</w:t>
            </w:r>
            <w:bookmarkStart w:id="0" w:name="_GoBack"/>
            <w:bookmarkEnd w:id="0"/>
            <w:r w:rsidR="00FD135F" w:rsidRP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gnificativa por el receptor</w:t>
            </w:r>
            <w:r w:rsidR="00FD135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, </w:t>
            </w:r>
            <w:r w:rsidR="00FD135F" w:rsidRP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lo que hace la política más inclusiva</w:t>
            </w:r>
            <w:r w:rsidR="00FD135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. </w:t>
            </w:r>
          </w:p>
          <w:p w:rsidR="002963F9" w:rsidRDefault="000B2BC0" w:rsidP="00C77F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Sería interesante conocer cómo </w:t>
            </w:r>
            <w:r w:rsidR="00D70FE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ITAI en </w:t>
            </w:r>
            <w:r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México implementa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el </w:t>
            </w:r>
            <w:r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Artículo 42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 la</w:t>
            </w:r>
            <w:r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Ley General de Transparencia y Acceso a la Información Pública</w:t>
            </w:r>
            <w:r w:rsid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y el </w:t>
            </w:r>
            <w:r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Artículo 21</w:t>
            </w:r>
            <w:r w:rsid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 la</w:t>
            </w:r>
            <w:r w:rsidR="004F6A9A"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Ley Federal de Transparencia y Acceso a la Información Pública</w:t>
            </w:r>
            <w:r w:rsid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, que buscan </w:t>
            </w:r>
            <w:r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garantizar condiciones de accesibilidad para que los grupos vulnerables</w:t>
            </w:r>
            <w:r w:rsid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, sobre todo para que las mujeres </w:t>
            </w:r>
            <w:r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tengan derecho</w:t>
            </w:r>
            <w:r w:rsid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 acceso a la información, </w:t>
            </w:r>
            <w:r w:rsidR="004F6A9A" w:rsidRPr="000B2BC0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en igualdad de circunstancias</w:t>
            </w:r>
            <w:r w:rsidR="004F6A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  <w:r w:rsidR="0009550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¿Y</w:t>
            </w:r>
            <w:r w:rsidR="00FD135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09550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cu</w:t>
            </w:r>
            <w:r w:rsid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á</w:t>
            </w:r>
            <w:r w:rsidR="0009550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nto </w:t>
            </w:r>
            <w:r w:rsidR="00FD135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al d</w:t>
            </w:r>
            <w:r w:rsidR="00095507" w:rsidRPr="0009550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iseño y distribución de información en Sistema de Escritura Braille</w:t>
            </w:r>
            <w:r w:rsidR="00FD135F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; y cuanto al u</w:t>
            </w:r>
            <w:r w:rsidR="00095507" w:rsidRPr="0009550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so de intérpretes de lenguas indígenas</w:t>
            </w:r>
            <w:r w:rsidR="00F92313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?</w:t>
            </w:r>
          </w:p>
          <w:p w:rsidR="00C77FA1" w:rsidRPr="002963F9" w:rsidRDefault="00C77FA1" w:rsidP="00C77F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</w:tc>
      </w:tr>
      <w:tr w:rsidR="00B43402" w:rsidRPr="008F4832" w:rsidTr="00B4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43402" w:rsidRDefault="00B43402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011DA" w:rsidRDefault="00B43402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Panamá</w:t>
            </w:r>
            <w:r w:rsidRPr="00B43402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945B6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A011DA"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Compartimos con</w:t>
            </w:r>
            <w:r w:rsid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</w:t>
            </w:r>
            <w:r w:rsidR="00A011DA"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a Autoridad de Transparencia y Acceso a la Información </w:t>
            </w:r>
            <w:r w:rsid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del Panamá </w:t>
            </w:r>
            <w:r w:rsidR="00A011DA"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(ANTAI) </w:t>
            </w:r>
            <w:r w:rsid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el objetivo de fortalecer</w:t>
            </w:r>
            <w:r w:rsidR="00A011DA"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y democratizar </w:t>
            </w:r>
            <w:r w:rsidR="00A011DA"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el derecho de acceso a la información respecto a los grupos minoritarios en nuestro país</w:t>
            </w:r>
            <w:r w:rsid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,</w:t>
            </w:r>
            <w:r w:rsidR="00A011DA"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por lo que en adición a las actividades ejecutadas respecto al compromiso del Plan de </w:t>
            </w:r>
            <w:r w:rsid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Presupuesto</w:t>
            </w:r>
            <w:r w:rsidR="003E4F8B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2016-2019. El Gobierno de Brasil </w:t>
            </w:r>
            <w:r w:rsidR="00A011DA"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adoptará los mecanismos necesarios para garantizar </w:t>
            </w:r>
            <w:r w:rsid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 implantación de sus directrices:</w:t>
            </w:r>
          </w:p>
          <w:p w:rsidR="00A011DA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A011DA" w:rsidRPr="00A011DA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“</w:t>
            </w:r>
            <w:r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Artículo 4</w:t>
            </w:r>
          </w:p>
          <w:p w:rsidR="00A011DA" w:rsidRPr="00A011DA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Para el período 2016-2019, el PPA tendrá como directrices:</w:t>
            </w:r>
          </w:p>
          <w:p w:rsidR="00A011DA" w:rsidRPr="00A011DA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</w:pPr>
            <w:r w:rsidRPr="00A011DA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  <w:t>I - El desarrollo sostenible orientado por la inclusión social;</w:t>
            </w:r>
          </w:p>
          <w:p w:rsidR="00A011DA" w:rsidRPr="00A011DA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II - La mejora continua de la calidad de los servicios públicos;</w:t>
            </w:r>
          </w:p>
          <w:p w:rsidR="00A011DA" w:rsidRPr="00A011DA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</w:pPr>
            <w:r w:rsidRPr="00A011DA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  <w:t>III - La garantía de los derechos humanos con reducción de las desigualdades sociales, regionales, étnico-raciales,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  <w:t xml:space="preserve"> </w:t>
            </w:r>
            <w:r w:rsidRPr="00A011DA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  <w:t>generacionales y de género;</w:t>
            </w:r>
          </w:p>
          <w:p w:rsidR="00A011DA" w:rsidRPr="00A011DA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lastRenderedPageBreak/>
              <w:t>IV - El estímulo y la valorización de la educación, ciencia, tecnología e innovación y competitividad;</w:t>
            </w:r>
          </w:p>
          <w:p w:rsidR="00A011DA" w:rsidRPr="002654A1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</w:pPr>
            <w:r w:rsidRPr="002654A1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  <w:t>V - La participación social como derecho del ciudadano;</w:t>
            </w:r>
          </w:p>
          <w:p w:rsidR="00A011DA" w:rsidRPr="002654A1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</w:pPr>
            <w:r w:rsidRPr="002654A1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  <w:t>VI- La valorización y el respeto a la diversidad cultural;</w:t>
            </w:r>
          </w:p>
          <w:p w:rsidR="00A011DA" w:rsidRPr="002654A1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</w:pPr>
            <w:r w:rsidRPr="002654A1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  <w:t>VII - El perfeccionamiento de la gestión pública con foco en el ciudadano, la eficiencia del gasto público,</w:t>
            </w:r>
          </w:p>
          <w:p w:rsidR="00A011DA" w:rsidRPr="002654A1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</w:pPr>
            <w:r w:rsidRPr="002654A1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val="es-MX"/>
              </w:rPr>
              <w:t>transparencia, y en el enfrentamiento a la corrupción; y</w:t>
            </w:r>
          </w:p>
          <w:p w:rsidR="00A011DA" w:rsidRDefault="00A011DA" w:rsidP="00A011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A011D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VIII - La garantía del equilibrio de las cuentas públicas.</w:t>
            </w:r>
            <w:r w:rsid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(</w:t>
            </w:r>
            <w:r w:rsidR="00413A88" w:rsidRP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</w:t>
            </w:r>
            <w:r w:rsid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ey</w:t>
            </w:r>
            <w:r w:rsidR="00413A88" w:rsidRP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n</w:t>
            </w:r>
            <w:r w:rsidR="00413A88" w:rsidRP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º</w:t>
            </w:r>
            <w:proofErr w:type="spellEnd"/>
            <w:r w:rsidR="00413A88" w:rsidRP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13.249, </w:t>
            </w:r>
            <w:r w:rsid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de</w:t>
            </w:r>
            <w:r w:rsidR="00413A88" w:rsidRP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13 </w:t>
            </w:r>
            <w:r w:rsid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de</w:t>
            </w:r>
            <w:r w:rsidR="00413A88" w:rsidRP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enero</w:t>
            </w:r>
            <w:r w:rsidR="00413A88" w:rsidRP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de</w:t>
            </w:r>
            <w:r w:rsidR="00413A88" w:rsidRP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2016</w:t>
            </w:r>
            <w:r w:rsidR="00413A8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) </w:t>
            </w:r>
          </w:p>
          <w:p w:rsidR="00A011DA" w:rsidRDefault="00A011DA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2654A1" w:rsidRDefault="002654A1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Aunque l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 ANTAI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y la CGU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todavía 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no cuenta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n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con una política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específica 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 acceso a la información para los grupos vulnerables o minoritarios, sin </w:t>
            </w:r>
            <w:r w:rsidR="003E4F8B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embargo,</w:t>
            </w:r>
            <w:r w:rsidR="003E4F8B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la Constitución Federal de Brasil es universalista y garantizadora de derechos. Así también 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nos encontramos en miras de introducir nuevos parámetros que suplan estas necesidades.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</w:p>
          <w:p w:rsidR="002654A1" w:rsidRDefault="002654A1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  <w:p w:rsidR="00756AD5" w:rsidRPr="00756AD5" w:rsidRDefault="002654A1" w:rsidP="00704D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2654A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En este sentido, las experiencias iniciales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de ANTAI con las 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“Defensoría Móviles”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; y de la CGU con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Pr="002654A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 26ª edición de la Acción Global, se llevaron a cabo con el fin de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Pr="002654A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 ampliación del conocimiento de la población, de todas las clases sociales, edades, géneros, etnias y condiciones, sobre mecanismos de participación social para la mejora de la gestión pública.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Estas iniciativas buscarán 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los traslados a zonas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populares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, permitiendo atender al público que por diferentes razones no pueden acceder a alguna Oficinas</w:t>
            </w:r>
            <w:r w:rsidR="003E4F8B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del Gobierno</w:t>
            </w:r>
            <w:r w:rsidR="00756AD5" w:rsidRPr="00756AD5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.</w:t>
            </w:r>
          </w:p>
        </w:tc>
      </w:tr>
      <w:tr w:rsidR="00123C94" w:rsidRPr="008F4832" w:rsidTr="00B4340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Merge/>
            <w:vAlign w:val="center"/>
          </w:tcPr>
          <w:p w:rsidR="00123C94" w:rsidRDefault="00123C94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</w:p>
        </w:tc>
        <w:tc>
          <w:tcPr>
            <w:tcW w:w="3834" w:type="pct"/>
            <w:vAlign w:val="center"/>
          </w:tcPr>
          <w:p w:rsidR="00123C94" w:rsidRDefault="00B43402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val="es-MX"/>
              </w:rPr>
              <w:t>Uruguay</w:t>
            </w:r>
            <w:r w:rsidR="00123C94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:</w:t>
            </w:r>
            <w:r w:rsidR="00E5313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="00E53138" w:rsidRPr="00E5313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Aunque la </w:t>
            </w:r>
            <w:r w:rsidR="0040069A"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AGESIC</w:t>
            </w:r>
            <w:r w:rsidR="00E53138" w:rsidRPr="00E5313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y la CGU todavía no cuentan con una política específica de acceso a la información para los grupos vulnerables o minoritarios, sin embargo, la Constitución Federal de Brasil es universalista y garantizadora de derechos. Así </w:t>
            </w:r>
            <w:r w:rsid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como Uruguay mencionó que </w:t>
            </w:r>
            <w:r w:rsidR="0040069A"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infier</w:t>
            </w:r>
            <w:r w:rsid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en</w:t>
            </w:r>
            <w:r w:rsidR="0040069A"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dicha obligación de </w:t>
            </w:r>
            <w:r w:rsid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las demás legislaciones, como </w:t>
            </w:r>
            <w:r w:rsidR="0040069A"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los Principios de No Discriminación y de Gratuidad, arts. 9 y 12 del Decreto N.º 232/010.</w:t>
            </w:r>
            <w:r w:rsidR="00E53138" w:rsidRPr="00E53138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</w:p>
          <w:p w:rsidR="0040069A" w:rsidRDefault="0040069A" w:rsidP="00B434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Es importante destacar que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también en </w:t>
            </w:r>
            <w:r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Brasil, la CGU y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los </w:t>
            </w:r>
            <w:r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órganos judiciales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garantiza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n</w:t>
            </w:r>
            <w:r w:rsidRPr="0040069A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la gratuidad del servicio de búsqueda y suministro de la información, excepto en lo que se refiere a los costos para la reproducción de documentos. Es buena práctica no cargar del ciudadano los costos de menor monta - por ejemplo, para copia de pocas páginas de un documento o proceso.</w:t>
            </w:r>
          </w:p>
          <w:p w:rsidR="00C107D7" w:rsidRDefault="00C107D7" w:rsidP="00C107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Cuanto</w:t>
            </w:r>
            <w:r w:rsidR="003574D1" w:rsidRPr="003574D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a</w:t>
            </w:r>
            <w:r w:rsidR="003574D1" w:rsidRPr="003574D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l derecho del niño a participar en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las</w:t>
            </w:r>
            <w:r w:rsidR="003574D1" w:rsidRPr="003574D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política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s</w:t>
            </w:r>
            <w:r w:rsidR="003574D1" w:rsidRPr="003574D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pública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s de sus intereses</w:t>
            </w:r>
            <w:r w:rsidR="003574D1" w:rsidRPr="003574D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,</w:t>
            </w:r>
            <w:r w:rsidR="003574D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l</w:t>
            </w:r>
            <w:r w:rsidR="003574D1" w:rsidRPr="003574D1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a CGU </w:t>
            </w:r>
            <w:r w:rsidRPr="00C107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en asociación con la Facultad de Ciencias Contables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</w:t>
            </w:r>
            <w:r w:rsidRPr="00C107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de la Universidad Federal de Pará (FACICON-UFPA) y del Observatorio Social de Belém (</w:t>
            </w:r>
            <w:proofErr w:type="spellStart"/>
            <w:r w:rsidRPr="00C107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OSBelém</w:t>
            </w:r>
            <w:proofErr w:type="spellEnd"/>
            <w:r w:rsidRPr="00C107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) inició en noviembre de 2016 la actividad de oidoría activa </w:t>
            </w:r>
            <w:r w:rsidRPr="00C107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lastRenderedPageBreak/>
              <w:t xml:space="preserve">junto a los beneficiarios del Programa Nacional de Alimentación Escolar (PNAE) de las escuelas públicas estatales ubicadas en el municipio de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Belém. Lo</w:t>
            </w:r>
            <w:r w:rsidRPr="00C107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 xml:space="preserve"> estudiantes de la escuela secundaria de la red pública estatal utilizaron sus propios celulares para grabar imágenes y evaluar la calidad de las comidas ofrecidas en sus escuelas.</w:t>
            </w:r>
          </w:p>
          <w:p w:rsidR="009C7ACC" w:rsidRDefault="00C107D7" w:rsidP="009471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  <w:r w:rsidRPr="00C107D7"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  <w:t>El objetivo es mejorar la ejecución del PNAE, a través de la participación de los beneficiarios y de la cooperación entre la sociedad y los gestores públicos responsables. La previsión es ampliar el proyecto en todo el país.</w:t>
            </w:r>
          </w:p>
          <w:p w:rsidR="00947193" w:rsidRPr="003574D1" w:rsidRDefault="00947193" w:rsidP="009471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  <w:lang w:val="es-MX"/>
              </w:rPr>
            </w:pPr>
          </w:p>
        </w:tc>
      </w:tr>
      <w:tr w:rsidR="002963F9" w:rsidRPr="008F4832" w:rsidTr="00B4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963F9" w:rsidRPr="009E2A68" w:rsidRDefault="002963F9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lastRenderedPageBreak/>
              <w:t>Conclusiones por País</w:t>
            </w:r>
          </w:p>
        </w:tc>
        <w:tc>
          <w:tcPr>
            <w:tcW w:w="38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63F9" w:rsidRPr="008F4832" w:rsidRDefault="00C77FA1" w:rsidP="008F48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>Es posible identificar similitudes entre las leyes que buscan garantizar la transparencia y el acceso a la información en los países del grupo, lo que puede explicarse por el período coincidente de publicación de la legislación en esos países.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>Es perceptible el carácter generalista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de la previsión legal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de eses países </w:t>
            </w:r>
            <w:r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para promover el acceso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a la información </w:t>
            </w:r>
            <w:r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en iguales condiciones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a las populaciones vulnerables, </w:t>
            </w:r>
            <w:r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pero es evidente que </w:t>
            </w:r>
            <w:r w:rsidR="003458B8"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>la</w:t>
            </w:r>
            <w:r w:rsid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implantación de las</w:t>
            </w:r>
            <w:r w:rsidR="003458B8"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acciones </w:t>
            </w:r>
            <w:r w:rsid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inclusivas </w:t>
            </w:r>
            <w:r w:rsidR="003458B8"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>aún es</w:t>
            </w:r>
            <w:r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="003A7E6B" w:rsidRPr="00C77FA1">
              <w:rPr>
                <w:rFonts w:ascii="Arial" w:eastAsia="Times New Roman" w:hAnsi="Arial" w:cs="Arial"/>
                <w:iCs/>
                <w:sz w:val="24"/>
                <w:szCs w:val="24"/>
              </w:rPr>
              <w:t>incipiente</w:t>
            </w:r>
            <w:r w:rsid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y </w:t>
            </w:r>
            <w:r w:rsidR="00261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tiene gran </w:t>
            </w:r>
            <w:r w:rsidR="003458B8">
              <w:rPr>
                <w:rFonts w:ascii="Arial" w:eastAsia="Times New Roman" w:hAnsi="Arial" w:cs="Arial"/>
                <w:iCs/>
                <w:sz w:val="24"/>
                <w:szCs w:val="24"/>
              </w:rPr>
              <w:t>potencial</w:t>
            </w:r>
            <w:r w:rsidR="0026145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de desarrollo</w:t>
            </w:r>
            <w:r w:rsid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882082" w:rsidRPr="008F4832" w:rsidTr="00B43402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F617EE" w:rsidRPr="009E2A68" w:rsidRDefault="00F617EE" w:rsidP="008F4832">
            <w:pPr>
              <w:jc w:val="center"/>
              <w:rPr>
                <w:rFonts w:ascii="Arial" w:eastAsia="Calibri" w:hAnsi="Arial" w:cs="Arial"/>
                <w:b w:val="0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Criterio Propuesto</w:t>
            </w:r>
          </w:p>
          <w:p w:rsidR="00882082" w:rsidRPr="009E2A68" w:rsidRDefault="00F617EE" w:rsidP="008F4832">
            <w:pPr>
              <w:jc w:val="center"/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</w:pP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 xml:space="preserve">(Conclusión </w:t>
            </w:r>
            <w:r w:rsidR="002963F9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 xml:space="preserve">General </w:t>
            </w:r>
            <w:r w:rsidRPr="009E2A68">
              <w:rPr>
                <w:rFonts w:ascii="Arial" w:eastAsia="Calibri" w:hAnsi="Arial" w:cs="Arial"/>
                <w:smallCaps/>
                <w:sz w:val="24"/>
                <w:szCs w:val="24"/>
                <w:lang w:val="es-MX"/>
              </w:rPr>
              <w:t>para el Grupo)</w:t>
            </w:r>
          </w:p>
        </w:tc>
        <w:tc>
          <w:tcPr>
            <w:tcW w:w="3834" w:type="pct"/>
            <w:vAlign w:val="center"/>
          </w:tcPr>
          <w:p w:rsidR="00882082" w:rsidRPr="008F4832" w:rsidRDefault="003458B8" w:rsidP="003458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La </w:t>
            </w:r>
            <w:r w:rsidR="00342E9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promoción de seminarios y la </w:t>
            </w:r>
            <w:r w:rsidRP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elaboración de manuales regionales de América Latina y el Caribe, </w:t>
            </w:r>
            <w:r w:rsidR="00342E95">
              <w:rPr>
                <w:rFonts w:ascii="Arial" w:eastAsia="Times New Roman" w:hAnsi="Arial" w:cs="Arial"/>
                <w:iCs/>
                <w:sz w:val="24"/>
                <w:szCs w:val="24"/>
              </w:rPr>
              <w:t>acerca de</w:t>
            </w:r>
            <w:r w:rsidRP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la inclusión de minorías sociales, de género, de edad, poblaciones indígenas, en lenguaje de braille o videos con interpretaciones en libras, con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respecto</w:t>
            </w:r>
            <w:r w:rsidRP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a las especificidades nacionales, puede</w:t>
            </w:r>
            <w:r w:rsidR="00F8037F">
              <w:rPr>
                <w:rFonts w:ascii="Arial" w:eastAsia="Times New Roman" w:hAnsi="Arial" w:cs="Arial"/>
                <w:iCs/>
                <w:sz w:val="24"/>
                <w:szCs w:val="24"/>
              </w:rPr>
              <w:t>n</w:t>
            </w:r>
            <w:r w:rsidRPr="003458B8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ser una iniciativa provechosa para iniciativas inclusivas encaminadas al mejoramiento democrático de las leyes de acceso a la información en los países</w:t>
            </w: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del Grupo RTA</w:t>
            </w:r>
            <w:r w:rsidRPr="003458B8">
              <w:rPr>
                <w:rFonts w:ascii="Arial" w:eastAsia="Times New Roman" w:hAnsi="Arial" w:cs="Arial"/>
                <w:iCs/>
                <w:sz w:val="24"/>
                <w:szCs w:val="24"/>
              </w:rPr>
              <w:t>.</w:t>
            </w:r>
            <w:r w:rsidR="008D5AF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L</w:t>
            </w:r>
            <w:r w:rsidR="008D5AF9" w:rsidRPr="008D5AF9">
              <w:rPr>
                <w:rFonts w:ascii="Arial" w:eastAsia="Times New Roman" w:hAnsi="Arial" w:cs="Arial"/>
                <w:iCs/>
                <w:sz w:val="24"/>
                <w:szCs w:val="24"/>
              </w:rPr>
              <w:t>a CGU está muy interesada en desarrollar esas iniciativas de inclusión de minorías en cooperación con la experiencia de los países miembros del grupo</w:t>
            </w:r>
            <w:r w:rsidR="008D5AF9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. </w:t>
            </w:r>
          </w:p>
        </w:tc>
      </w:tr>
    </w:tbl>
    <w:p w:rsidR="00E131FB" w:rsidRPr="008F4832" w:rsidRDefault="00E131FB" w:rsidP="008F483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131FB" w:rsidRPr="008F4832" w:rsidSect="00EF1EF3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44" w:rsidRDefault="00D35A44" w:rsidP="009E2A68">
      <w:pPr>
        <w:spacing w:after="0" w:line="240" w:lineRule="auto"/>
      </w:pPr>
      <w:r>
        <w:separator/>
      </w:r>
    </w:p>
  </w:endnote>
  <w:endnote w:type="continuationSeparator" w:id="0">
    <w:p w:rsidR="00D35A44" w:rsidRDefault="00D35A44" w:rsidP="009E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3472555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7AC2" w:rsidRPr="00FF5C3C" w:rsidRDefault="00BF7AC2">
            <w:pPr>
              <w:pStyle w:val="Rodap"/>
              <w:jc w:val="right"/>
              <w:rPr>
                <w:rFonts w:ascii="Arial" w:hAnsi="Arial" w:cs="Arial"/>
                <w:sz w:val="18"/>
              </w:rPr>
            </w:pPr>
            <w:r w:rsidRPr="00FF5C3C">
              <w:rPr>
                <w:rFonts w:ascii="Arial" w:hAnsi="Arial" w:cs="Arial"/>
                <w:sz w:val="18"/>
              </w:rPr>
              <w:t xml:space="preserve">Página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70671A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FF5C3C">
              <w:rPr>
                <w:rFonts w:ascii="Arial" w:hAnsi="Arial" w:cs="Arial"/>
                <w:sz w:val="18"/>
              </w:rPr>
              <w:t xml:space="preserve"> de 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FF5C3C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70671A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F5C3C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BF7AC2" w:rsidRPr="00FF5C3C" w:rsidRDefault="00BF7AC2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44" w:rsidRDefault="00D35A44" w:rsidP="009E2A68">
      <w:pPr>
        <w:spacing w:after="0" w:line="240" w:lineRule="auto"/>
      </w:pPr>
      <w:r>
        <w:separator/>
      </w:r>
    </w:p>
  </w:footnote>
  <w:footnote w:type="continuationSeparator" w:id="0">
    <w:p w:rsidR="00D35A44" w:rsidRDefault="00D35A44" w:rsidP="009E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C2" w:rsidRPr="008F4DF4" w:rsidRDefault="00BF7AC2" w:rsidP="009E2A68">
    <w:pPr>
      <w:spacing w:after="0" w:line="240" w:lineRule="auto"/>
      <w:jc w:val="right"/>
      <w:rPr>
        <w:rFonts w:ascii="Arial" w:hAnsi="Arial" w:cs="Arial"/>
        <w:b/>
        <w:smallCaps/>
      </w:rPr>
    </w:pPr>
    <w:r w:rsidRPr="008F4DF4">
      <w:rPr>
        <w:smallCaps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30EF221" wp14:editId="6F6B947B">
          <wp:simplePos x="0" y="0"/>
          <wp:positionH relativeFrom="margin">
            <wp:posOffset>371475</wp:posOffset>
          </wp:positionH>
          <wp:positionV relativeFrom="margin">
            <wp:posOffset>-1037590</wp:posOffset>
          </wp:positionV>
          <wp:extent cx="1104900" cy="830580"/>
          <wp:effectExtent l="0" t="0" r="0" b="7620"/>
          <wp:wrapSquare wrapText="bothSides"/>
          <wp:docPr id="12" name="3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3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DF4">
      <w:rPr>
        <w:rFonts w:ascii="Arial" w:hAnsi="Arial" w:cs="Arial"/>
        <w:b/>
        <w:smallCaps/>
      </w:rPr>
      <w:t>Grupo de Jurisprudencia y Criterios Administrativos</w:t>
    </w:r>
  </w:p>
  <w:p w:rsidR="00BF7AC2" w:rsidRPr="008F4DF4" w:rsidRDefault="00BF7AC2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Debate sobre posicionamientos</w:t>
    </w:r>
  </w:p>
  <w:p w:rsidR="00BF7AC2" w:rsidRDefault="00BF7AC2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  <w:p w:rsidR="00BF7AC2" w:rsidRDefault="00BF7AC2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sz w:val="24"/>
        <w:szCs w:val="24"/>
      </w:rPr>
      <w:t>Sexto</w:t>
    </w:r>
    <w:r w:rsidRPr="008F4DF4">
      <w:rPr>
        <w:rFonts w:ascii="Arial" w:hAnsi="Arial" w:cs="Arial"/>
        <w:b/>
        <w:smallCaps/>
        <w:sz w:val="24"/>
        <w:szCs w:val="24"/>
      </w:rPr>
      <w:t xml:space="preserve"> Debate Temático</w:t>
    </w:r>
  </w:p>
  <w:p w:rsidR="00BF7AC2" w:rsidRDefault="00BF7AC2" w:rsidP="009E2A68">
    <w:pPr>
      <w:tabs>
        <w:tab w:val="left" w:pos="4950"/>
      </w:tabs>
      <w:spacing w:after="0" w:line="240" w:lineRule="auto"/>
      <w:jc w:val="right"/>
      <w:rPr>
        <w:rFonts w:ascii="Arial" w:hAnsi="Arial" w:cs="Arial"/>
        <w:b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3EE"/>
    <w:multiLevelType w:val="hybridMultilevel"/>
    <w:tmpl w:val="D9D684CA"/>
    <w:lvl w:ilvl="0" w:tplc="C5943C7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568F"/>
    <w:multiLevelType w:val="hybridMultilevel"/>
    <w:tmpl w:val="DDE2C88A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775C"/>
    <w:multiLevelType w:val="hybridMultilevel"/>
    <w:tmpl w:val="9260FF0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181E"/>
    <w:multiLevelType w:val="hybridMultilevel"/>
    <w:tmpl w:val="C188F7D0"/>
    <w:lvl w:ilvl="0" w:tplc="28861F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1E6B"/>
    <w:multiLevelType w:val="hybridMultilevel"/>
    <w:tmpl w:val="ED986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FB"/>
    <w:rsid w:val="00011955"/>
    <w:rsid w:val="000478B8"/>
    <w:rsid w:val="00095507"/>
    <w:rsid w:val="00097BDE"/>
    <w:rsid w:val="000B2BC0"/>
    <w:rsid w:val="0010047D"/>
    <w:rsid w:val="00123C94"/>
    <w:rsid w:val="00136C76"/>
    <w:rsid w:val="00150183"/>
    <w:rsid w:val="0016572D"/>
    <w:rsid w:val="001F1D8B"/>
    <w:rsid w:val="00231614"/>
    <w:rsid w:val="0026145A"/>
    <w:rsid w:val="002654A1"/>
    <w:rsid w:val="00287734"/>
    <w:rsid w:val="002963F9"/>
    <w:rsid w:val="00324388"/>
    <w:rsid w:val="0033112F"/>
    <w:rsid w:val="0033282F"/>
    <w:rsid w:val="00342E95"/>
    <w:rsid w:val="003458B8"/>
    <w:rsid w:val="003574D1"/>
    <w:rsid w:val="0039462F"/>
    <w:rsid w:val="003A596B"/>
    <w:rsid w:val="003A7E6B"/>
    <w:rsid w:val="003E4F8B"/>
    <w:rsid w:val="0040069A"/>
    <w:rsid w:val="00413A88"/>
    <w:rsid w:val="00420E96"/>
    <w:rsid w:val="00436105"/>
    <w:rsid w:val="00437516"/>
    <w:rsid w:val="004633C9"/>
    <w:rsid w:val="00486A8A"/>
    <w:rsid w:val="004B1BEE"/>
    <w:rsid w:val="004B612B"/>
    <w:rsid w:val="004C0150"/>
    <w:rsid w:val="004F6A9A"/>
    <w:rsid w:val="00521672"/>
    <w:rsid w:val="00522F6E"/>
    <w:rsid w:val="0055506D"/>
    <w:rsid w:val="005941F2"/>
    <w:rsid w:val="005E04AA"/>
    <w:rsid w:val="0061563C"/>
    <w:rsid w:val="00622B72"/>
    <w:rsid w:val="006436F2"/>
    <w:rsid w:val="006537AD"/>
    <w:rsid w:val="006720BA"/>
    <w:rsid w:val="006935C8"/>
    <w:rsid w:val="006F6733"/>
    <w:rsid w:val="00704D91"/>
    <w:rsid w:val="0070671A"/>
    <w:rsid w:val="00756AD5"/>
    <w:rsid w:val="00787100"/>
    <w:rsid w:val="008641D6"/>
    <w:rsid w:val="00882082"/>
    <w:rsid w:val="008A7488"/>
    <w:rsid w:val="008D5AF9"/>
    <w:rsid w:val="008E056E"/>
    <w:rsid w:val="008F4832"/>
    <w:rsid w:val="009064FB"/>
    <w:rsid w:val="00945B67"/>
    <w:rsid w:val="00947193"/>
    <w:rsid w:val="0095076A"/>
    <w:rsid w:val="00970F79"/>
    <w:rsid w:val="009760E6"/>
    <w:rsid w:val="00996932"/>
    <w:rsid w:val="009C7ACC"/>
    <w:rsid w:val="009E2A68"/>
    <w:rsid w:val="00A011DA"/>
    <w:rsid w:val="00A213D0"/>
    <w:rsid w:val="00A27E14"/>
    <w:rsid w:val="00A801E3"/>
    <w:rsid w:val="00AC7955"/>
    <w:rsid w:val="00B43402"/>
    <w:rsid w:val="00B927E9"/>
    <w:rsid w:val="00BF7AC2"/>
    <w:rsid w:val="00C065D0"/>
    <w:rsid w:val="00C107D7"/>
    <w:rsid w:val="00C77FA1"/>
    <w:rsid w:val="00CB058C"/>
    <w:rsid w:val="00CB3B99"/>
    <w:rsid w:val="00D35A44"/>
    <w:rsid w:val="00D70FE8"/>
    <w:rsid w:val="00DA5256"/>
    <w:rsid w:val="00DB2A84"/>
    <w:rsid w:val="00E10CD4"/>
    <w:rsid w:val="00E131FB"/>
    <w:rsid w:val="00E23674"/>
    <w:rsid w:val="00E53138"/>
    <w:rsid w:val="00EB564D"/>
    <w:rsid w:val="00EF1EF3"/>
    <w:rsid w:val="00EF4D59"/>
    <w:rsid w:val="00F11AF9"/>
    <w:rsid w:val="00F246BB"/>
    <w:rsid w:val="00F368BA"/>
    <w:rsid w:val="00F617EE"/>
    <w:rsid w:val="00F64D83"/>
    <w:rsid w:val="00F8037F"/>
    <w:rsid w:val="00F92313"/>
    <w:rsid w:val="00FC3A0E"/>
    <w:rsid w:val="00FD1349"/>
    <w:rsid w:val="00FD135F"/>
    <w:rsid w:val="00FF4F35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72FD"/>
  <w15:docId w15:val="{8FCF4A4A-8170-4164-B3F7-B63B2B0B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1FB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AC7955"/>
    <w:rPr>
      <w:b/>
      <w:bCs/>
      <w:smallCaps/>
      <w:spacing w:val="5"/>
    </w:rPr>
  </w:style>
  <w:style w:type="table" w:styleId="ListaClara-nfase2">
    <w:name w:val="Light List Accent 2"/>
    <w:basedOn w:val="Tabelanormal"/>
    <w:uiPriority w:val="61"/>
    <w:rsid w:val="008F483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A68"/>
  </w:style>
  <w:style w:type="paragraph" w:styleId="Rodap">
    <w:name w:val="footer"/>
    <w:basedOn w:val="Normal"/>
    <w:link w:val="RodapChar"/>
    <w:uiPriority w:val="99"/>
    <w:unhideWhenUsed/>
    <w:rsid w:val="009E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AC475AFB66A43B2316B05CBFB6904" ma:contentTypeVersion="3" ma:contentTypeDescription="Create a new document." ma:contentTypeScope="" ma:versionID="4139860efa336fdac60ffdd0976e5329">
  <xsd:schema xmlns:xsd="http://www.w3.org/2001/XMLSchema" xmlns:xs="http://www.w3.org/2001/XMLSchema" xmlns:p="http://schemas.microsoft.com/office/2006/metadata/properties" xmlns:ns2="f4d36732-e6c1-4d35-a74a-a5258d763a75" targetNamespace="http://schemas.microsoft.com/office/2006/metadata/properties" ma:root="true" ma:fieldsID="a36c1ff8dc0ca6855a66dd9a84a93f40" ns2:_="">
    <xsd:import namespace="f4d36732-e6c1-4d35-a74a-a5258d763a7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36732-e6c1-4d35-a74a-a5258d763a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e0f18e3d-76e0-4c60-8d9f-4e08cdb8b9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6c12cb8-ea0a-4be7-97ef-6175d20ab09a}" ma:internalName="TaxCatchAll" ma:showField="CatchAllData" ma:web="f4d36732-e6c1-4d35-a74a-a5258d763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d36732-e6c1-4d35-a74a-a5258d763a75">
      <Terms xmlns="http://schemas.microsoft.com/office/infopath/2007/PartnerControls"/>
    </TaxKeywordTaxHTField>
    <TaxCatchAll xmlns="f4d36732-e6c1-4d35-a74a-a5258d763a75"/>
  </documentManagement>
</p:properties>
</file>

<file path=customXml/itemProps1.xml><?xml version="1.0" encoding="utf-8"?>
<ds:datastoreItem xmlns:ds="http://schemas.openxmlformats.org/officeDocument/2006/customXml" ds:itemID="{2347B5CB-58BC-4F75-85EE-3EED7746F20D}"/>
</file>

<file path=customXml/itemProps2.xml><?xml version="1.0" encoding="utf-8"?>
<ds:datastoreItem xmlns:ds="http://schemas.openxmlformats.org/officeDocument/2006/customXml" ds:itemID="{7CDB0A51-06B2-4EEB-9AAE-C3B6D7989D40}"/>
</file>

<file path=customXml/itemProps3.xml><?xml version="1.0" encoding="utf-8"?>
<ds:datastoreItem xmlns:ds="http://schemas.openxmlformats.org/officeDocument/2006/customXml" ds:itemID="{65ED8950-8A0E-4B38-85F1-33F445375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1320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ifai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De la Paz-Pérez Farca</dc:creator>
  <cp:lastModifiedBy>Flavia Lemos Sampaio Xavier</cp:lastModifiedBy>
  <cp:revision>6</cp:revision>
  <cp:lastPrinted>2015-11-23T17:16:00Z</cp:lastPrinted>
  <dcterms:created xsi:type="dcterms:W3CDTF">2017-10-23T20:47:00Z</dcterms:created>
  <dcterms:modified xsi:type="dcterms:W3CDTF">2017-10-27T13:45:00Z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0x01010079CAC475AFB66A43B2316B05CBFB6904</vt:lpwstr>
  </property>
  <property fmtid="{D5CDD505-2E9C-101B-9397-08002B2CF9AE}" pid="3" name="TaxKeyword">
    <vt:lpwstr/>
  </property>
</Properties>
</file>