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68" w:rsidRPr="0089517F" w:rsidRDefault="009E2A68" w:rsidP="0089517F">
      <w:pPr>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354"/>
        <w:gridCol w:w="8436"/>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F35EB5" w:rsidRPr="005D57A9" w:rsidRDefault="004C3FFD" w:rsidP="00F35EB5">
            <w:pPr>
              <w:spacing w:line="276" w:lineRule="auto"/>
              <w:jc w:val="both"/>
              <w:rPr>
                <w:rFonts w:ascii="Arial" w:eastAsia="Times New Roman" w:hAnsi="Arial" w:cs="Arial"/>
                <w:iCs/>
                <w:smallCaps/>
                <w:sz w:val="24"/>
                <w:szCs w:val="24"/>
                <w:lang w:val="es-CO"/>
              </w:rPr>
            </w:pPr>
            <w:r>
              <w:rPr>
                <w:rFonts w:ascii="Arial" w:eastAsia="Times New Roman" w:hAnsi="Arial" w:cs="Arial"/>
                <w:iCs/>
                <w:smallCaps/>
                <w:sz w:val="24"/>
                <w:szCs w:val="24"/>
                <w:lang w:val="es-CO"/>
              </w:rPr>
              <w:t>C</w:t>
            </w:r>
            <w:r w:rsidRPr="004C3FFD">
              <w:rPr>
                <w:rFonts w:ascii="Arial" w:eastAsia="Times New Roman" w:hAnsi="Arial" w:cs="Arial"/>
                <w:iCs/>
                <w:smallCaps/>
                <w:sz w:val="24"/>
                <w:szCs w:val="24"/>
                <w:lang w:val="es-CO"/>
              </w:rPr>
              <w:t>uando una persona jurídica de derecho privado es sujeto obligado de la Ley de Trans</w:t>
            </w:r>
            <w:r>
              <w:rPr>
                <w:rFonts w:ascii="Arial" w:eastAsia="Times New Roman" w:hAnsi="Arial" w:cs="Arial"/>
                <w:iCs/>
                <w:smallCaps/>
                <w:sz w:val="24"/>
                <w:szCs w:val="24"/>
                <w:lang w:val="es-CO"/>
              </w:rPr>
              <w:t>parencia y Acceso a Información.</w:t>
            </w:r>
          </w:p>
        </w:tc>
      </w:tr>
      <w:tr w:rsidR="00522F6E" w:rsidRPr="008F4832"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rsidR="00486A8A" w:rsidRPr="00EA14D6" w:rsidRDefault="00EA14D6"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MX" w:eastAsia="es-ES"/>
              </w:rPr>
            </w:pPr>
            <w:r w:rsidRPr="00EA14D6">
              <w:rPr>
                <w:rFonts w:ascii="Arial" w:eastAsia="Times New Roman" w:hAnsi="Arial" w:cs="Arial"/>
                <w:b/>
                <w:sz w:val="24"/>
                <w:szCs w:val="24"/>
                <w:lang w:val="es-MX" w:eastAsia="es-ES"/>
              </w:rPr>
              <w:t>INAI, México</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F70CD" w:rsidRPr="00146CF6" w:rsidRDefault="0089517F" w:rsidP="00FF70C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46CF6">
              <w:rPr>
                <w:rFonts w:ascii="Arial" w:eastAsia="Times New Roman" w:hAnsi="Arial" w:cs="Arial"/>
                <w:b/>
                <w:sz w:val="24"/>
                <w:szCs w:val="24"/>
                <w:lang w:val="es-MX" w:eastAsia="es-ES"/>
              </w:rPr>
              <w:t>¿Quiénes son considerados sujetos obligados en la legislación de acceso a información pública</w:t>
            </w:r>
            <w:r w:rsidR="000647BF" w:rsidRPr="00146CF6">
              <w:rPr>
                <w:rFonts w:ascii="Arial" w:eastAsia="Times New Roman" w:hAnsi="Arial" w:cs="Arial"/>
                <w:b/>
                <w:sz w:val="24"/>
                <w:szCs w:val="24"/>
                <w:lang w:val="es-MX" w:eastAsia="es-ES"/>
              </w:rPr>
              <w:t xml:space="preserve"> de su país</w:t>
            </w:r>
            <w:r w:rsidR="00FF70CD" w:rsidRPr="00146CF6">
              <w:rPr>
                <w:rFonts w:ascii="Arial" w:eastAsia="Times New Roman" w:hAnsi="Arial" w:cs="Arial"/>
                <w:b/>
                <w:sz w:val="24"/>
                <w:szCs w:val="24"/>
                <w:lang w:val="es-MX" w:eastAsia="es-ES"/>
              </w:rPr>
              <w:t>?</w:t>
            </w:r>
          </w:p>
          <w:p w:rsidR="00FF70CD" w:rsidRDefault="00FF70CD"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46CF6" w:rsidRDefault="00A23DCB"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23DCB">
              <w:rPr>
                <w:rFonts w:ascii="Arial" w:eastAsia="Times New Roman" w:hAnsi="Arial" w:cs="Arial"/>
                <w:sz w:val="24"/>
                <w:szCs w:val="24"/>
                <w:lang w:val="es-MX" w:eastAsia="es-ES"/>
              </w:rPr>
              <w:t>De conformidad con el artículo 1° de la Ley General de Transparencia y Acceso a la Información Pública (LGTAIP),</w:t>
            </w:r>
            <w:r w:rsidR="00CC3E99">
              <w:rPr>
                <w:rFonts w:ascii="Arial" w:eastAsia="Times New Roman" w:hAnsi="Arial" w:cs="Arial"/>
                <w:sz w:val="24"/>
                <w:szCs w:val="24"/>
                <w:lang w:val="es-MX" w:eastAsia="es-ES"/>
              </w:rPr>
              <w:t xml:space="preserve"> son sujetos obligados en la materia para el Estado mexicano:</w:t>
            </w:r>
          </w:p>
          <w:p w:rsidR="00CC3E99" w:rsidRDefault="00CC3E99"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43EE0" w:rsidRPr="00D43EE0" w:rsidRDefault="001716F3"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eastAsia="es-ES"/>
              </w:rPr>
              <w:t>C</w:t>
            </w:r>
            <w:r w:rsidRPr="001716F3">
              <w:rPr>
                <w:rFonts w:ascii="Arial" w:eastAsia="Times New Roman" w:hAnsi="Arial" w:cs="Arial"/>
                <w:sz w:val="24"/>
                <w:szCs w:val="24"/>
                <w:lang w:eastAsia="es-ES"/>
              </w:rPr>
              <w:t>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r>
              <w:rPr>
                <w:rFonts w:ascii="Arial" w:eastAsia="Times New Roman" w:hAnsi="Arial" w:cs="Arial"/>
                <w:sz w:val="24"/>
                <w:szCs w:val="24"/>
                <w:lang w:eastAsia="es-ES"/>
              </w:rPr>
              <w:t>.</w:t>
            </w:r>
            <w:r w:rsidR="00D43EE0">
              <w:rPr>
                <w:rFonts w:ascii="Arial" w:eastAsia="Times New Roman" w:hAnsi="Arial" w:cs="Arial"/>
                <w:sz w:val="24"/>
                <w:szCs w:val="24"/>
                <w:lang w:eastAsia="es-ES"/>
              </w:rPr>
              <w:t xml:space="preserve"> </w:t>
            </w:r>
            <w:r w:rsidR="00D43EE0" w:rsidRPr="00D43EE0">
              <w:rPr>
                <w:rFonts w:ascii="Arial" w:eastAsia="Times New Roman" w:hAnsi="Arial" w:cs="Arial"/>
                <w:sz w:val="24"/>
                <w:szCs w:val="24"/>
                <w:lang w:eastAsia="es-ES"/>
              </w:rPr>
              <w:t>En el mismo sentido, la Ley Federal de Transparencia y Acceso a la Información Pública (LFTAIP), establece la regulación específica en su Capítulo II, artículos 74 y 75, en los mismos términos que la Ley General.</w:t>
            </w:r>
          </w:p>
          <w:p w:rsidR="00146CF6" w:rsidRDefault="00146CF6"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B3837" w:rsidRPr="00CC3E99" w:rsidRDefault="005D57A9"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CC3E99">
              <w:rPr>
                <w:rFonts w:ascii="Arial" w:eastAsia="Times New Roman" w:hAnsi="Arial" w:cs="Arial"/>
                <w:b/>
                <w:sz w:val="24"/>
                <w:szCs w:val="24"/>
                <w:lang w:val="es-MX" w:eastAsia="es-ES"/>
              </w:rPr>
              <w:t>¿Qué se entiende por acto de autoridad (ejercicio de la función pública) en su legislación nacional?</w:t>
            </w:r>
          </w:p>
          <w:p w:rsidR="00F566F5" w:rsidRDefault="00F566F5" w:rsidP="005B3837">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C3E99" w:rsidRDefault="001716F3" w:rsidP="001716F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De conformidad con los </w:t>
            </w:r>
            <w:r w:rsidRPr="001716F3">
              <w:rPr>
                <w:rFonts w:ascii="Arial" w:eastAsia="Times New Roman" w:hAnsi="Arial" w:cs="Arial"/>
                <w:sz w:val="24"/>
                <w:szCs w:val="24"/>
                <w:lang w:val="es-MX" w:eastAsia="es-ES"/>
              </w:rPr>
              <w:t xml:space="preserve">Lineamientos Generales que establecen los criterios para el cumplimiento de las obligaciones de transparencia y acceso a la información a cargo de las personas físicas y </w:t>
            </w:r>
            <w:r w:rsidR="002E383E">
              <w:rPr>
                <w:rFonts w:ascii="Arial" w:eastAsia="Times New Roman" w:hAnsi="Arial" w:cs="Arial"/>
                <w:sz w:val="24"/>
                <w:szCs w:val="24"/>
                <w:lang w:val="es-MX" w:eastAsia="es-ES"/>
              </w:rPr>
              <w:t>jurídicas</w:t>
            </w:r>
            <w:r w:rsidRPr="001716F3">
              <w:rPr>
                <w:rFonts w:ascii="Arial" w:eastAsia="Times New Roman" w:hAnsi="Arial" w:cs="Arial"/>
                <w:sz w:val="24"/>
                <w:szCs w:val="24"/>
                <w:lang w:val="es-MX" w:eastAsia="es-ES"/>
              </w:rPr>
              <w:t xml:space="preserve"> que reciben y ejercen recursos públicos o realicen actos de autoridad</w:t>
            </w:r>
            <w:r>
              <w:rPr>
                <w:rFonts w:ascii="Arial" w:eastAsia="Times New Roman" w:hAnsi="Arial" w:cs="Arial"/>
                <w:sz w:val="24"/>
                <w:szCs w:val="24"/>
                <w:lang w:val="es-MX" w:eastAsia="es-ES"/>
              </w:rPr>
              <w:t xml:space="preserve">, se considera al acto de autoridad como al </w:t>
            </w:r>
            <w:r w:rsidRPr="001716F3">
              <w:rPr>
                <w:rFonts w:ascii="Arial" w:eastAsia="Times New Roman" w:hAnsi="Arial" w:cs="Arial"/>
                <w:sz w:val="24"/>
                <w:szCs w:val="24"/>
                <w:lang w:val="es-MX" w:eastAsia="es-ES"/>
              </w:rPr>
              <w:t>hecho voluntario e intencional, imputable a un órgano del Estado o a un particular en nombre de aquél, consistente en un hecho positivo (decisión, ejecución o ambas) o negativo (abstención u omisión), que produzca una afectación en situaciones jurídicas o de hecho determinadas, que se impongan imperativa, unilateral o coercitivamente</w:t>
            </w:r>
            <w:r>
              <w:rPr>
                <w:rFonts w:ascii="Arial" w:eastAsia="Times New Roman" w:hAnsi="Arial" w:cs="Arial"/>
                <w:sz w:val="24"/>
                <w:szCs w:val="24"/>
                <w:lang w:val="es-MX" w:eastAsia="es-ES"/>
              </w:rPr>
              <w:t>.</w:t>
            </w:r>
          </w:p>
          <w:p w:rsidR="00CC3E99" w:rsidRPr="005B3837" w:rsidRDefault="00CC3E99" w:rsidP="005B3837">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CC3E99" w:rsidRDefault="00FF70CD"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CC3E99">
              <w:rPr>
                <w:rFonts w:ascii="Arial" w:eastAsia="Times New Roman" w:hAnsi="Arial" w:cs="Arial"/>
                <w:b/>
                <w:sz w:val="24"/>
                <w:szCs w:val="24"/>
                <w:lang w:val="es-MX" w:eastAsia="es-ES"/>
              </w:rPr>
              <w:t>¿</w:t>
            </w:r>
            <w:r w:rsidR="008B08C1" w:rsidRPr="00CC3E99">
              <w:rPr>
                <w:rFonts w:ascii="Arial" w:eastAsia="Times New Roman" w:hAnsi="Arial" w:cs="Arial"/>
                <w:b/>
                <w:sz w:val="24"/>
                <w:szCs w:val="24"/>
                <w:lang w:val="es-MX" w:eastAsia="es-ES"/>
              </w:rPr>
              <w:t>En su país existen personas privadas (ya sea físicas o jurídicas) que desarrollen funciones p</w:t>
            </w:r>
            <w:r w:rsidR="002C269F" w:rsidRPr="00CC3E99">
              <w:rPr>
                <w:rFonts w:ascii="Arial" w:eastAsia="Times New Roman" w:hAnsi="Arial" w:cs="Arial"/>
                <w:b/>
                <w:sz w:val="24"/>
                <w:szCs w:val="24"/>
                <w:lang w:val="es-MX" w:eastAsia="es-ES"/>
              </w:rPr>
              <w:t>úblicas</w:t>
            </w:r>
            <w:r w:rsidR="00336222" w:rsidRPr="00CC3E99">
              <w:rPr>
                <w:rFonts w:ascii="Arial" w:eastAsia="Times New Roman" w:hAnsi="Arial" w:cs="Arial"/>
                <w:b/>
                <w:sz w:val="24"/>
                <w:szCs w:val="24"/>
                <w:lang w:val="es-MX" w:eastAsia="es-ES"/>
              </w:rPr>
              <w:t>,</w:t>
            </w:r>
            <w:r w:rsidR="002C269F" w:rsidRPr="00CC3E99">
              <w:rPr>
                <w:rFonts w:ascii="Arial" w:eastAsia="Times New Roman" w:hAnsi="Arial" w:cs="Arial"/>
                <w:b/>
                <w:sz w:val="24"/>
                <w:szCs w:val="24"/>
                <w:lang w:val="es-MX" w:eastAsia="es-ES"/>
              </w:rPr>
              <w:t xml:space="preserve"> o</w:t>
            </w:r>
            <w:r w:rsidR="00336222" w:rsidRPr="00CC3E99">
              <w:rPr>
                <w:rFonts w:ascii="Arial" w:eastAsia="Times New Roman" w:hAnsi="Arial" w:cs="Arial"/>
                <w:b/>
                <w:sz w:val="24"/>
                <w:szCs w:val="24"/>
                <w:lang w:val="es-MX" w:eastAsia="es-ES"/>
              </w:rPr>
              <w:t xml:space="preserve"> bien</w:t>
            </w:r>
            <w:r w:rsidR="002C269F" w:rsidRPr="00CC3E99">
              <w:rPr>
                <w:rFonts w:ascii="Arial" w:eastAsia="Times New Roman" w:hAnsi="Arial" w:cs="Arial"/>
                <w:b/>
                <w:sz w:val="24"/>
                <w:szCs w:val="24"/>
                <w:lang w:val="es-MX" w:eastAsia="es-ES"/>
              </w:rPr>
              <w:t>, ejerzan</w:t>
            </w:r>
            <w:r w:rsidR="008B08C1" w:rsidRPr="00CC3E99">
              <w:rPr>
                <w:rFonts w:ascii="Arial" w:eastAsia="Times New Roman" w:hAnsi="Arial" w:cs="Arial"/>
                <w:b/>
                <w:sz w:val="24"/>
                <w:szCs w:val="24"/>
                <w:lang w:val="es-MX" w:eastAsia="es-ES"/>
              </w:rPr>
              <w:t xml:space="preserve"> por delegación o mandato legal, funciones de autoridad?</w:t>
            </w:r>
            <w:r w:rsidRPr="00CC3E99">
              <w:rPr>
                <w:rFonts w:ascii="Arial" w:eastAsia="Times New Roman" w:hAnsi="Arial" w:cs="Arial"/>
                <w:b/>
                <w:sz w:val="24"/>
                <w:szCs w:val="24"/>
                <w:lang w:val="es-MX" w:eastAsia="es-ES"/>
              </w:rPr>
              <w:t xml:space="preserve"> </w:t>
            </w:r>
            <w:r w:rsidR="002C269F" w:rsidRPr="00CC3E99">
              <w:rPr>
                <w:rFonts w:ascii="Arial" w:eastAsia="Times New Roman" w:hAnsi="Arial" w:cs="Arial"/>
                <w:b/>
                <w:sz w:val="24"/>
                <w:szCs w:val="24"/>
                <w:lang w:val="es-MX" w:eastAsia="es-ES"/>
              </w:rPr>
              <w:t>(</w:t>
            </w:r>
            <w:r w:rsidR="00336222" w:rsidRPr="00CC3E99">
              <w:rPr>
                <w:rFonts w:ascii="Arial" w:eastAsia="Times New Roman" w:hAnsi="Arial" w:cs="Arial"/>
                <w:b/>
                <w:sz w:val="24"/>
                <w:szCs w:val="24"/>
                <w:lang w:val="es-MX" w:eastAsia="es-ES"/>
              </w:rPr>
              <w:t>T</w:t>
            </w:r>
            <w:r w:rsidR="002C269F" w:rsidRPr="00CC3E99">
              <w:rPr>
                <w:rFonts w:ascii="Arial" w:eastAsia="Times New Roman" w:hAnsi="Arial" w:cs="Arial"/>
                <w:b/>
                <w:sz w:val="24"/>
                <w:szCs w:val="24"/>
                <w:lang w:val="es-MX" w:eastAsia="es-ES"/>
              </w:rPr>
              <w:t xml:space="preserve">al es el caso de </w:t>
            </w:r>
            <w:r w:rsidR="005D57A9" w:rsidRPr="00CC3E99">
              <w:rPr>
                <w:rFonts w:ascii="Arial" w:eastAsia="Times New Roman" w:hAnsi="Arial" w:cs="Arial"/>
                <w:b/>
                <w:sz w:val="24"/>
                <w:szCs w:val="24"/>
                <w:lang w:val="es-MX" w:eastAsia="es-ES"/>
              </w:rPr>
              <w:lastRenderedPageBreak/>
              <w:t xml:space="preserve">notarios públicos o </w:t>
            </w:r>
            <w:r w:rsidR="002C269F" w:rsidRPr="00CC3E99">
              <w:rPr>
                <w:rFonts w:ascii="Arial" w:eastAsia="Times New Roman" w:hAnsi="Arial" w:cs="Arial"/>
                <w:b/>
                <w:sz w:val="24"/>
                <w:szCs w:val="24"/>
                <w:lang w:val="es-MX" w:eastAsia="es-ES"/>
              </w:rPr>
              <w:t>concesionarios de servicios públicos -recolección de basura, suministro de agua</w:t>
            </w:r>
            <w:r w:rsidR="005D57A9" w:rsidRPr="00CC3E99">
              <w:rPr>
                <w:rFonts w:ascii="Arial" w:eastAsia="Times New Roman" w:hAnsi="Arial" w:cs="Arial"/>
                <w:b/>
                <w:sz w:val="24"/>
                <w:szCs w:val="24"/>
                <w:lang w:val="es-MX" w:eastAsia="es-ES"/>
              </w:rPr>
              <w:t>, etc.</w:t>
            </w:r>
            <w:r w:rsidR="002C269F" w:rsidRPr="00CC3E99">
              <w:rPr>
                <w:rFonts w:ascii="Arial" w:eastAsia="Times New Roman" w:hAnsi="Arial" w:cs="Arial"/>
                <w:b/>
                <w:sz w:val="24"/>
                <w:szCs w:val="24"/>
                <w:lang w:val="es-MX" w:eastAsia="es-ES"/>
              </w:rPr>
              <w:t xml:space="preserve">-) </w:t>
            </w:r>
            <w:r w:rsidRPr="00CC3E99">
              <w:rPr>
                <w:rFonts w:ascii="Arial" w:eastAsia="Times New Roman" w:hAnsi="Arial" w:cs="Arial"/>
                <w:b/>
                <w:sz w:val="24"/>
                <w:szCs w:val="24"/>
                <w:lang w:val="es-MX" w:eastAsia="es-ES"/>
              </w:rPr>
              <w:t>De ser el caso</w:t>
            </w:r>
            <w:r w:rsidR="008B08C1" w:rsidRPr="00CC3E99">
              <w:rPr>
                <w:rFonts w:ascii="Arial" w:eastAsia="Times New Roman" w:hAnsi="Arial" w:cs="Arial"/>
                <w:b/>
                <w:sz w:val="24"/>
                <w:szCs w:val="24"/>
                <w:lang w:val="es-MX" w:eastAsia="es-ES"/>
              </w:rPr>
              <w:t xml:space="preserve">, </w:t>
            </w:r>
            <w:r w:rsidR="002C269F" w:rsidRPr="00CC3E99">
              <w:rPr>
                <w:rFonts w:ascii="Arial" w:eastAsia="Times New Roman" w:hAnsi="Arial" w:cs="Arial"/>
                <w:b/>
                <w:sz w:val="24"/>
                <w:szCs w:val="24"/>
                <w:lang w:val="es-MX" w:eastAsia="es-ES"/>
              </w:rPr>
              <w:t xml:space="preserve">favor de proporcionar ejemplos </w:t>
            </w:r>
            <w:r w:rsidR="005D57A9" w:rsidRPr="00CC3E99">
              <w:rPr>
                <w:rFonts w:ascii="Arial" w:eastAsia="Times New Roman" w:hAnsi="Arial" w:cs="Arial"/>
                <w:b/>
                <w:sz w:val="24"/>
                <w:szCs w:val="24"/>
                <w:lang w:val="es-MX" w:eastAsia="es-ES"/>
              </w:rPr>
              <w:t xml:space="preserve">al caso </w:t>
            </w:r>
            <w:r w:rsidR="002C269F" w:rsidRPr="00CC3E99">
              <w:rPr>
                <w:rFonts w:ascii="Arial" w:eastAsia="Times New Roman" w:hAnsi="Arial" w:cs="Arial"/>
                <w:b/>
                <w:sz w:val="24"/>
                <w:szCs w:val="24"/>
                <w:lang w:val="es-MX" w:eastAsia="es-ES"/>
              </w:rPr>
              <w:t>concreto.</w:t>
            </w:r>
          </w:p>
          <w:p w:rsidR="000167E4" w:rsidRDefault="000167E4"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02E72" w:rsidRDefault="00102E72"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En México existen personas físicas y jurídicas que realizan actos de autoridad y que ejercen recursos públicos:</w:t>
            </w:r>
          </w:p>
          <w:p w:rsidR="00CC3E99" w:rsidRDefault="00CC3E99"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02E72" w:rsidRDefault="006508BC"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Ejemplos de pe</w:t>
            </w:r>
            <w:r w:rsidR="00102E72">
              <w:rPr>
                <w:rFonts w:ascii="Arial" w:eastAsia="Times New Roman" w:hAnsi="Arial" w:cs="Arial"/>
                <w:sz w:val="24"/>
                <w:szCs w:val="24"/>
                <w:lang w:val="es-MX" w:eastAsia="es-ES"/>
              </w:rPr>
              <w:t xml:space="preserve">rsonas que realizan actos de autoridad: </w:t>
            </w:r>
          </w:p>
          <w:p w:rsidR="00CC3E99" w:rsidRDefault="00CC3E99"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02E72" w:rsidRDefault="00102E72" w:rsidP="00102E72">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Notarios Públicos.</w:t>
            </w:r>
          </w:p>
          <w:p w:rsidR="00102E72" w:rsidRDefault="00102E72" w:rsidP="00102E72">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Corredurías públicas.</w:t>
            </w:r>
          </w:p>
          <w:p w:rsidR="007C71D9" w:rsidRDefault="007C71D9" w:rsidP="00102E72">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Servicios públicos que son concesionados por el ejecutivo local.</w:t>
            </w:r>
          </w:p>
          <w:p w:rsidR="00102E72" w:rsidRDefault="00102E72"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02E72" w:rsidRDefault="006508BC"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Ejemplos de p</w:t>
            </w:r>
            <w:r w:rsidR="00102E72">
              <w:rPr>
                <w:rFonts w:ascii="Arial" w:eastAsia="Times New Roman" w:hAnsi="Arial" w:cs="Arial"/>
                <w:sz w:val="24"/>
                <w:szCs w:val="24"/>
                <w:lang w:val="es-MX" w:eastAsia="es-ES"/>
              </w:rPr>
              <w:t>ersonas que ejercen recursos públicos:</w:t>
            </w:r>
          </w:p>
          <w:p w:rsidR="00102E72" w:rsidRDefault="00102E72"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805C1" w:rsidRDefault="00C805C1" w:rsidP="00C805C1">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Beneficiarios de programas sociales.</w:t>
            </w:r>
          </w:p>
          <w:p w:rsidR="00D43EE0" w:rsidRDefault="00D43EE0" w:rsidP="00C805C1">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Becarios.</w:t>
            </w:r>
          </w:p>
          <w:p w:rsidR="00CC3E99" w:rsidRDefault="00CC3E99"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369E9" w:rsidRPr="00CC3E99" w:rsidRDefault="00A369E9"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CC3E99">
              <w:rPr>
                <w:rFonts w:ascii="Arial" w:eastAsia="Times New Roman" w:hAnsi="Arial" w:cs="Arial"/>
                <w:b/>
                <w:sz w:val="24"/>
                <w:szCs w:val="24"/>
                <w:lang w:val="es-MX" w:eastAsia="es-ES"/>
              </w:rPr>
              <w:t>¿</w:t>
            </w:r>
            <w:r w:rsidR="00B76B40" w:rsidRPr="00CC3E99">
              <w:rPr>
                <w:rFonts w:ascii="Arial" w:eastAsia="Times New Roman" w:hAnsi="Arial" w:cs="Arial"/>
                <w:b/>
                <w:sz w:val="24"/>
                <w:szCs w:val="24"/>
                <w:lang w:val="es-MX" w:eastAsia="es-ES"/>
              </w:rPr>
              <w:t>En su país las personas físicas</w:t>
            </w:r>
            <w:r w:rsidR="00EA6DB9" w:rsidRPr="00CC3E99">
              <w:rPr>
                <w:rFonts w:ascii="Arial" w:eastAsia="Times New Roman" w:hAnsi="Arial" w:cs="Arial"/>
                <w:b/>
                <w:sz w:val="24"/>
                <w:szCs w:val="24"/>
                <w:lang w:val="es-MX" w:eastAsia="es-ES"/>
              </w:rPr>
              <w:t xml:space="preserve"> o jurídicas</w:t>
            </w:r>
            <w:r w:rsidR="005D57A9" w:rsidRPr="00CC3E99">
              <w:rPr>
                <w:rFonts w:ascii="Arial" w:eastAsia="Times New Roman" w:hAnsi="Arial" w:cs="Arial"/>
                <w:b/>
                <w:sz w:val="24"/>
                <w:szCs w:val="24"/>
                <w:lang w:val="es-MX" w:eastAsia="es-ES"/>
              </w:rPr>
              <w:t xml:space="preserve"> (privadas)</w:t>
            </w:r>
            <w:r w:rsidR="00EA6DB9" w:rsidRPr="00CC3E99">
              <w:rPr>
                <w:rFonts w:ascii="Arial" w:eastAsia="Times New Roman" w:hAnsi="Arial" w:cs="Arial"/>
                <w:b/>
                <w:sz w:val="24"/>
                <w:szCs w:val="24"/>
                <w:lang w:val="es-MX" w:eastAsia="es-ES"/>
              </w:rPr>
              <w:t xml:space="preserve"> pueden llegar a ejercer recursos públicos</w:t>
            </w:r>
            <w:r w:rsidRPr="00CC3E99">
              <w:rPr>
                <w:rFonts w:ascii="Arial" w:eastAsia="Times New Roman" w:hAnsi="Arial" w:cs="Arial"/>
                <w:b/>
                <w:sz w:val="24"/>
                <w:szCs w:val="24"/>
                <w:lang w:val="es-MX" w:eastAsia="es-ES"/>
              </w:rPr>
              <w:t>?</w:t>
            </w:r>
            <w:r w:rsidR="00EA6DB9" w:rsidRPr="00CC3E99">
              <w:rPr>
                <w:rFonts w:ascii="Arial" w:eastAsia="Times New Roman" w:hAnsi="Arial" w:cs="Arial"/>
                <w:b/>
                <w:sz w:val="24"/>
                <w:szCs w:val="24"/>
                <w:lang w:val="es-MX" w:eastAsia="es-ES"/>
              </w:rPr>
              <w:t xml:space="preserve"> En caso afirmativo, favor de proporcionar ejemplos</w:t>
            </w:r>
            <w:r w:rsidR="005D57A9" w:rsidRPr="00CC3E99">
              <w:rPr>
                <w:rFonts w:ascii="Arial" w:eastAsia="Times New Roman" w:hAnsi="Arial" w:cs="Arial"/>
                <w:b/>
                <w:sz w:val="24"/>
                <w:szCs w:val="24"/>
                <w:lang w:val="es-MX" w:eastAsia="es-ES"/>
              </w:rPr>
              <w:t xml:space="preserve"> al</w:t>
            </w:r>
            <w:r w:rsidR="00EA6DB9" w:rsidRPr="00CC3E99">
              <w:rPr>
                <w:rFonts w:ascii="Arial" w:eastAsia="Times New Roman" w:hAnsi="Arial" w:cs="Arial"/>
                <w:b/>
                <w:sz w:val="24"/>
                <w:szCs w:val="24"/>
                <w:lang w:val="es-MX" w:eastAsia="es-ES"/>
              </w:rPr>
              <w:t xml:space="preserve"> </w:t>
            </w:r>
            <w:r w:rsidR="005D57A9" w:rsidRPr="00CC3E99">
              <w:rPr>
                <w:rFonts w:ascii="Arial" w:eastAsia="Times New Roman" w:hAnsi="Arial" w:cs="Arial"/>
                <w:b/>
                <w:sz w:val="24"/>
                <w:szCs w:val="24"/>
                <w:lang w:val="es-MX" w:eastAsia="es-ES"/>
              </w:rPr>
              <w:t xml:space="preserve">caso </w:t>
            </w:r>
            <w:r w:rsidR="00EA6DB9" w:rsidRPr="00CC3E99">
              <w:rPr>
                <w:rFonts w:ascii="Arial" w:eastAsia="Times New Roman" w:hAnsi="Arial" w:cs="Arial"/>
                <w:b/>
                <w:sz w:val="24"/>
                <w:szCs w:val="24"/>
                <w:lang w:val="es-MX" w:eastAsia="es-ES"/>
              </w:rPr>
              <w:t>concreto</w:t>
            </w:r>
            <w:r w:rsidR="002C269F" w:rsidRPr="00CC3E99">
              <w:rPr>
                <w:rFonts w:ascii="Arial" w:eastAsia="Times New Roman" w:hAnsi="Arial" w:cs="Arial"/>
                <w:b/>
                <w:sz w:val="24"/>
                <w:szCs w:val="24"/>
                <w:lang w:val="es-MX" w:eastAsia="es-ES"/>
              </w:rPr>
              <w:t xml:space="preserve"> </w:t>
            </w:r>
            <w:r w:rsidR="00EA6DB9" w:rsidRPr="00CC3E99">
              <w:rPr>
                <w:rFonts w:ascii="Arial" w:eastAsia="Times New Roman" w:hAnsi="Arial" w:cs="Arial"/>
                <w:b/>
                <w:sz w:val="24"/>
                <w:szCs w:val="24"/>
                <w:lang w:val="es-MX" w:eastAsia="es-ES"/>
              </w:rPr>
              <w:t>(programas</w:t>
            </w:r>
            <w:r w:rsidR="005D57A9" w:rsidRPr="00CC3E99">
              <w:rPr>
                <w:rFonts w:ascii="Arial" w:eastAsia="Times New Roman" w:hAnsi="Arial" w:cs="Arial"/>
                <w:b/>
                <w:sz w:val="24"/>
                <w:szCs w:val="24"/>
                <w:lang w:val="es-MX" w:eastAsia="es-ES"/>
              </w:rPr>
              <w:t xml:space="preserve"> sociales o</w:t>
            </w:r>
            <w:r w:rsidR="00EA6DB9" w:rsidRPr="00CC3E99">
              <w:rPr>
                <w:rFonts w:ascii="Arial" w:eastAsia="Times New Roman" w:hAnsi="Arial" w:cs="Arial"/>
                <w:b/>
                <w:sz w:val="24"/>
                <w:szCs w:val="24"/>
                <w:lang w:val="es-MX" w:eastAsia="es-ES"/>
              </w:rPr>
              <w:t xml:space="preserve"> </w:t>
            </w:r>
            <w:r w:rsidR="002C269F" w:rsidRPr="00CC3E99">
              <w:rPr>
                <w:rFonts w:ascii="Arial" w:eastAsia="Times New Roman" w:hAnsi="Arial" w:cs="Arial"/>
                <w:b/>
                <w:sz w:val="24"/>
                <w:szCs w:val="24"/>
                <w:lang w:val="es-MX" w:eastAsia="es-ES"/>
              </w:rPr>
              <w:t>de beneficencia pública</w:t>
            </w:r>
            <w:r w:rsidR="005D57A9" w:rsidRPr="00CC3E99">
              <w:rPr>
                <w:rFonts w:ascii="Arial" w:eastAsia="Times New Roman" w:hAnsi="Arial" w:cs="Arial"/>
                <w:b/>
                <w:sz w:val="24"/>
                <w:szCs w:val="24"/>
                <w:lang w:val="es-MX" w:eastAsia="es-ES"/>
              </w:rPr>
              <w:t>).</w:t>
            </w:r>
          </w:p>
          <w:p w:rsidR="00A369E9" w:rsidRDefault="00A369E9" w:rsidP="00A369E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F50B6" w:rsidRPr="005F50B6" w:rsidRDefault="005F50B6" w:rsidP="005F50B6">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F50B6">
              <w:rPr>
                <w:rFonts w:ascii="Arial" w:eastAsia="Times New Roman" w:hAnsi="Arial" w:cs="Arial"/>
                <w:sz w:val="24"/>
                <w:szCs w:val="24"/>
                <w:lang w:val="es-MX" w:eastAsia="es-ES"/>
              </w:rPr>
              <w:t xml:space="preserve">En México, las personas físicas o morales (privadas) sí pueden llegar ejercer recursos públicos. En este sentido, el INAI desarrolló el criterio de interpretación 11/13 en el que esclarece que concesión se entiende como la que tiene por objeto conferir a un particular el ejercicio de ciertas prerrogativas públicas para la explotación de un bien o servicio público, por lo que toda la información derivada del procedimiento que se lleva a cabo para su otorgamiento, su renovación o conservación y la relativa a su cumplimiento, en principio, es de carácter público. </w:t>
            </w:r>
          </w:p>
          <w:p w:rsidR="005F50B6" w:rsidRPr="005F50B6" w:rsidRDefault="005F50B6" w:rsidP="005F50B6">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C3E99" w:rsidRDefault="005F50B6" w:rsidP="005F50B6">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F50B6">
              <w:rPr>
                <w:rFonts w:ascii="Arial" w:eastAsia="Times New Roman" w:hAnsi="Arial" w:cs="Arial"/>
                <w:sz w:val="24"/>
                <w:szCs w:val="24"/>
                <w:lang w:val="es-MX" w:eastAsia="es-ES"/>
              </w:rPr>
              <w:t>De igual forma, el ejercicio de recursos para programas sociales</w:t>
            </w:r>
            <w:r w:rsidR="00D43EE0">
              <w:rPr>
                <w:rStyle w:val="Refdenotaalpie"/>
                <w:rFonts w:ascii="Arial" w:eastAsia="Times New Roman" w:hAnsi="Arial" w:cs="Arial"/>
                <w:sz w:val="24"/>
                <w:szCs w:val="24"/>
                <w:lang w:val="es-MX" w:eastAsia="es-ES"/>
              </w:rPr>
              <w:footnoteReference w:id="1"/>
            </w:r>
            <w:r w:rsidRPr="005F50B6">
              <w:rPr>
                <w:rFonts w:ascii="Arial" w:eastAsia="Times New Roman" w:hAnsi="Arial" w:cs="Arial"/>
                <w:sz w:val="24"/>
                <w:szCs w:val="24"/>
                <w:lang w:val="es-MX" w:eastAsia="es-ES"/>
              </w:rPr>
              <w:t xml:space="preserve"> o de beneficencia pública son casos en los que se ejercen recursos públicos por parte de personas físicas o jurídicas. En este caso, la ley también mandata que en caso de ser beneficiaria de un programa social se debe cumplir con las obligaciones de transparencia. No obstante lo anterior y estando consciente de la carga que esta obligación impone a los particulares, el ordenamiento jurídico mexicano establece que en los casos en que las personas físicas o morales que reciban y ejerzan recursos públicos, sean beneficiarios de programas sociales, se tendrán por cumplidas sus obligaciones de transparencia y acceso a la información, con la información que publique el sujeto obligado que les asigne los recursos. Lo que significa que el sujeto obligado es obligado subsidiario del cumplimiento de las obligaciones de transparencia en relación con programas sociales.</w:t>
            </w:r>
          </w:p>
          <w:p w:rsidR="00CC3E99" w:rsidRDefault="00CC3E99" w:rsidP="00A369E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8F09B2" w:rsidRDefault="008F09B2" w:rsidP="008F09B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E</w:t>
            </w:r>
            <w:r w:rsidRPr="008F09B2">
              <w:rPr>
                <w:rFonts w:ascii="Arial" w:eastAsia="Times New Roman" w:hAnsi="Arial" w:cs="Arial"/>
                <w:sz w:val="24"/>
                <w:szCs w:val="24"/>
                <w:lang w:eastAsia="es-ES"/>
              </w:rPr>
              <w:t xml:space="preserve">s importante resaltar que no todas las personas físicas y </w:t>
            </w:r>
            <w:r>
              <w:rPr>
                <w:rFonts w:ascii="Arial" w:eastAsia="Times New Roman" w:hAnsi="Arial" w:cs="Arial"/>
                <w:sz w:val="24"/>
                <w:szCs w:val="24"/>
                <w:lang w:eastAsia="es-ES"/>
              </w:rPr>
              <w:t>jurídicas</w:t>
            </w:r>
            <w:r w:rsidRPr="008F09B2">
              <w:rPr>
                <w:rFonts w:ascii="Arial" w:eastAsia="Times New Roman" w:hAnsi="Arial" w:cs="Arial"/>
                <w:sz w:val="24"/>
                <w:szCs w:val="24"/>
                <w:lang w:eastAsia="es-ES"/>
              </w:rPr>
              <w:t xml:space="preserve"> que reciban recursos públicos o realizan actos de autoridad </w:t>
            </w:r>
            <w:r>
              <w:rPr>
                <w:rFonts w:ascii="Arial" w:eastAsia="Times New Roman" w:hAnsi="Arial" w:cs="Arial"/>
                <w:sz w:val="24"/>
                <w:szCs w:val="24"/>
                <w:lang w:eastAsia="es-ES"/>
              </w:rPr>
              <w:t>cumplen</w:t>
            </w:r>
            <w:r w:rsidRPr="008F09B2">
              <w:rPr>
                <w:rFonts w:ascii="Arial" w:eastAsia="Times New Roman" w:hAnsi="Arial" w:cs="Arial"/>
                <w:sz w:val="24"/>
                <w:szCs w:val="24"/>
                <w:lang w:eastAsia="es-ES"/>
              </w:rPr>
              <w:t xml:space="preserve"> con sus obligaciones de transparencia a través del sujeto obligado que les otorga el recurso o les faculta para realizar los actos, sino que esto depende de una serie de circunstancias, como las que se detallan en </w:t>
            </w:r>
            <w:r>
              <w:rPr>
                <w:rFonts w:ascii="Arial" w:eastAsia="Times New Roman" w:hAnsi="Arial" w:cs="Arial"/>
                <w:sz w:val="24"/>
                <w:szCs w:val="24"/>
                <w:lang w:eastAsia="es-ES"/>
              </w:rPr>
              <w:t>el sexto lineamiento de la normativa citada.</w:t>
            </w:r>
          </w:p>
          <w:p w:rsidR="008F09B2" w:rsidRDefault="008F09B2" w:rsidP="008F09B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8F09B2" w:rsidRDefault="008F09B2" w:rsidP="008F09B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09B2">
              <w:rPr>
                <w:rFonts w:ascii="Arial" w:eastAsia="Times New Roman" w:hAnsi="Arial" w:cs="Arial"/>
                <w:sz w:val="24"/>
                <w:szCs w:val="24"/>
                <w:lang w:eastAsia="es-ES"/>
              </w:rPr>
              <w:t>Actualmente en México todas las personas que se incluyeron en el Padrón de personas físicas y morales de 2016, así como en su actualización de 2017 son sujetos obligados indirectos, es decir, corresponden a la categoría señalada, sin embargo esto puede cambiar posteriormente.</w:t>
            </w:r>
          </w:p>
          <w:p w:rsidR="008F09B2" w:rsidRPr="00A369E9" w:rsidRDefault="008F09B2" w:rsidP="00A369E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167E4" w:rsidRPr="00CC3E99" w:rsidRDefault="00B43671" w:rsidP="005A69A2">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CC3E99">
              <w:rPr>
                <w:rFonts w:ascii="Arial" w:eastAsia="Times New Roman" w:hAnsi="Arial" w:cs="Arial"/>
                <w:b/>
                <w:sz w:val="24"/>
                <w:szCs w:val="24"/>
                <w:lang w:val="es-MX" w:eastAsia="es-ES"/>
              </w:rPr>
              <w:t>¿C</w:t>
            </w:r>
            <w:r w:rsidR="00202080" w:rsidRPr="00CC3E99">
              <w:rPr>
                <w:rFonts w:ascii="Arial" w:eastAsia="Times New Roman" w:hAnsi="Arial" w:cs="Arial"/>
                <w:b/>
                <w:sz w:val="24"/>
                <w:szCs w:val="24"/>
                <w:lang w:val="es-MX" w:eastAsia="es-ES"/>
              </w:rPr>
              <w:t xml:space="preserve">ómo se </w:t>
            </w:r>
            <w:r w:rsidR="00BF7AF5" w:rsidRPr="00CC3E99">
              <w:rPr>
                <w:rFonts w:ascii="Arial" w:eastAsia="Times New Roman" w:hAnsi="Arial" w:cs="Arial"/>
                <w:b/>
                <w:sz w:val="24"/>
                <w:szCs w:val="24"/>
                <w:lang w:val="es-MX" w:eastAsia="es-ES"/>
              </w:rPr>
              <w:t>monitorea y vigila la actuación y manejo de recursos públicos de estas personas físicas o jurídicas</w:t>
            </w:r>
            <w:r w:rsidR="005D57A9" w:rsidRPr="00CC3E99">
              <w:rPr>
                <w:rFonts w:ascii="Arial" w:eastAsia="Times New Roman" w:hAnsi="Arial" w:cs="Arial"/>
                <w:b/>
                <w:sz w:val="24"/>
                <w:szCs w:val="24"/>
                <w:lang w:val="es-MX" w:eastAsia="es-ES"/>
              </w:rPr>
              <w:t xml:space="preserve"> del ámbito privado que ejercen</w:t>
            </w:r>
            <w:r w:rsidR="00F566F5" w:rsidRPr="00CC3E99">
              <w:rPr>
                <w:rFonts w:ascii="Arial" w:eastAsia="Times New Roman" w:hAnsi="Arial" w:cs="Arial"/>
                <w:b/>
                <w:sz w:val="24"/>
                <w:szCs w:val="24"/>
                <w:lang w:val="es-MX" w:eastAsia="es-ES"/>
              </w:rPr>
              <w:t xml:space="preserve"> dichos</w:t>
            </w:r>
            <w:r w:rsidR="005D57A9" w:rsidRPr="00CC3E99">
              <w:rPr>
                <w:rFonts w:ascii="Arial" w:eastAsia="Times New Roman" w:hAnsi="Arial" w:cs="Arial"/>
                <w:b/>
                <w:sz w:val="24"/>
                <w:szCs w:val="24"/>
                <w:lang w:val="es-MX" w:eastAsia="es-ES"/>
              </w:rPr>
              <w:t xml:space="preserve"> recursos o realizan actos de autoridad</w:t>
            </w:r>
            <w:r w:rsidR="00202080" w:rsidRPr="00CC3E99">
              <w:rPr>
                <w:rFonts w:ascii="Arial" w:eastAsia="Times New Roman" w:hAnsi="Arial" w:cs="Arial"/>
                <w:b/>
                <w:sz w:val="24"/>
                <w:szCs w:val="24"/>
                <w:lang w:val="es-MX" w:eastAsia="es-ES"/>
              </w:rPr>
              <w:t>?</w:t>
            </w:r>
          </w:p>
          <w:p w:rsidR="008E6A79" w:rsidRDefault="008E6A79" w:rsidP="008E6A7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2E383E">
              <w:rPr>
                <w:rFonts w:ascii="Arial" w:eastAsia="Times New Roman" w:hAnsi="Arial" w:cs="Arial"/>
                <w:sz w:val="24"/>
                <w:szCs w:val="24"/>
                <w:lang w:val="es-MX" w:eastAsia="es-ES"/>
              </w:rPr>
              <w:t>Este rubro se encuentra regulado por los artículos 81 y 82 de la LGTAIP, misma que establece que “</w:t>
            </w:r>
            <w:r w:rsidRPr="002E383E">
              <w:rPr>
                <w:rFonts w:ascii="Arial" w:eastAsia="Times New Roman" w:hAnsi="Arial" w:cs="Arial"/>
                <w:i/>
                <w:sz w:val="24"/>
                <w:szCs w:val="24"/>
                <w:lang w:val="es-MX" w:eastAsia="es-ES"/>
              </w:rPr>
              <w:t xml:space="preserve">Los Organismos garantes, dentro de sus respectivas competencias, determinarán los casos en que las personas físicas o </w:t>
            </w:r>
            <w:r>
              <w:rPr>
                <w:rFonts w:ascii="Arial" w:eastAsia="Times New Roman" w:hAnsi="Arial" w:cs="Arial"/>
                <w:i/>
                <w:sz w:val="24"/>
                <w:szCs w:val="24"/>
                <w:lang w:val="es-MX" w:eastAsia="es-ES"/>
              </w:rPr>
              <w:t>jurídicas</w:t>
            </w:r>
            <w:r w:rsidRPr="002E383E">
              <w:rPr>
                <w:rFonts w:ascii="Arial" w:eastAsia="Times New Roman" w:hAnsi="Arial" w:cs="Arial"/>
                <w:i/>
                <w:sz w:val="24"/>
                <w:szCs w:val="24"/>
                <w:lang w:val="es-MX" w:eastAsia="es-ES"/>
              </w:rPr>
              <w:t xml:space="preserve">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2E383E">
              <w:rPr>
                <w:rFonts w:ascii="Arial" w:eastAsia="Times New Roman" w:hAnsi="Arial" w:cs="Arial"/>
                <w:i/>
                <w:sz w:val="24"/>
                <w:szCs w:val="24"/>
                <w:lang w:val="es-MX" w:eastAsia="es-ES"/>
              </w:rPr>
              <w:t xml:space="preserve">Los sujetos obligados correspondientes deberán enviar a los Organismos garantes competentes un listado de las personas físicas o </w:t>
            </w:r>
            <w:r>
              <w:rPr>
                <w:rFonts w:ascii="Arial" w:eastAsia="Times New Roman" w:hAnsi="Arial" w:cs="Arial"/>
                <w:i/>
                <w:sz w:val="24"/>
                <w:szCs w:val="24"/>
                <w:lang w:val="es-MX" w:eastAsia="es-ES"/>
              </w:rPr>
              <w:t>jurídicas</w:t>
            </w:r>
            <w:r w:rsidRPr="002E383E">
              <w:rPr>
                <w:rFonts w:ascii="Arial" w:eastAsia="Times New Roman" w:hAnsi="Arial" w:cs="Arial"/>
                <w:i/>
                <w:sz w:val="24"/>
                <w:szCs w:val="24"/>
                <w:lang w:val="es-MX" w:eastAsia="es-ES"/>
              </w:rPr>
              <w:t xml:space="preserve"> a los que, por cualquier motivo, asignaron recursos públicos o, en los términos que establezcan las disposiciones aplicables, ejercen actos de autoridad.</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2E383E">
              <w:rPr>
                <w:rFonts w:ascii="Arial" w:eastAsia="Times New Roman" w:hAnsi="Arial" w:cs="Arial"/>
                <w:i/>
                <w:sz w:val="24"/>
                <w:szCs w:val="24"/>
                <w:lang w:val="es-MX" w:eastAsia="es-ES"/>
              </w:rPr>
              <w:t>Para resolver sobre el cumplimento de lo señalado en el párrafo anterior, los Organismos garantes tomarán en cuenta si realiza una función gubernamental, el nivel de financiamiento público, el nivel de regulación e involucramiento gubernamental y si el gobierno participó en su creación.”</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2E383E">
              <w:rPr>
                <w:rFonts w:ascii="Arial" w:eastAsia="Times New Roman" w:hAnsi="Arial" w:cs="Arial"/>
                <w:sz w:val="24"/>
                <w:szCs w:val="24"/>
                <w:lang w:val="es-MX" w:eastAsia="es-ES"/>
              </w:rPr>
              <w:t>De igual manera, en el artículo 82</w:t>
            </w:r>
            <w:r>
              <w:rPr>
                <w:rFonts w:ascii="Arial" w:eastAsia="Times New Roman" w:hAnsi="Arial" w:cs="Arial"/>
                <w:sz w:val="24"/>
                <w:szCs w:val="24"/>
                <w:lang w:val="es-MX" w:eastAsia="es-ES"/>
              </w:rPr>
              <w:t xml:space="preserve"> se dicta que </w:t>
            </w:r>
            <w:r w:rsidRPr="002E383E">
              <w:rPr>
                <w:rFonts w:ascii="Arial" w:eastAsia="Times New Roman" w:hAnsi="Arial" w:cs="Arial"/>
                <w:i/>
                <w:sz w:val="24"/>
                <w:szCs w:val="24"/>
                <w:lang w:val="es-MX" w:eastAsia="es-ES"/>
              </w:rPr>
              <w:t xml:space="preserve">para determinar la información que deberán hacer pública las personas físicas o </w:t>
            </w:r>
            <w:r>
              <w:rPr>
                <w:rFonts w:ascii="Arial" w:eastAsia="Times New Roman" w:hAnsi="Arial" w:cs="Arial"/>
                <w:i/>
                <w:sz w:val="24"/>
                <w:szCs w:val="24"/>
                <w:lang w:val="es-MX" w:eastAsia="es-ES"/>
              </w:rPr>
              <w:t>jurídicas</w:t>
            </w:r>
            <w:r w:rsidRPr="002E383E">
              <w:rPr>
                <w:rFonts w:ascii="Arial" w:eastAsia="Times New Roman" w:hAnsi="Arial" w:cs="Arial"/>
                <w:i/>
                <w:sz w:val="24"/>
                <w:szCs w:val="24"/>
                <w:lang w:val="es-MX" w:eastAsia="es-ES"/>
              </w:rPr>
              <w:t xml:space="preserve"> que reciben y ejercen recursos públicos o realizan actos de autoridad, los Organismos garantes competentes deberán:</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2E383E">
              <w:rPr>
                <w:rFonts w:ascii="Arial" w:eastAsia="Times New Roman" w:hAnsi="Arial" w:cs="Arial"/>
                <w:i/>
                <w:sz w:val="24"/>
                <w:szCs w:val="24"/>
                <w:lang w:val="es-MX" w:eastAsia="es-ES"/>
              </w:rPr>
              <w:t xml:space="preserve">I. Solicitar a las personas físicas o </w:t>
            </w:r>
            <w:r>
              <w:rPr>
                <w:rFonts w:ascii="Arial" w:eastAsia="Times New Roman" w:hAnsi="Arial" w:cs="Arial"/>
                <w:i/>
                <w:sz w:val="24"/>
                <w:szCs w:val="24"/>
                <w:lang w:val="es-MX" w:eastAsia="es-ES"/>
              </w:rPr>
              <w:t>jurídicas</w:t>
            </w:r>
            <w:r w:rsidRPr="002E383E">
              <w:rPr>
                <w:rFonts w:ascii="Arial" w:eastAsia="Times New Roman" w:hAnsi="Arial" w:cs="Arial"/>
                <w:i/>
                <w:sz w:val="24"/>
                <w:szCs w:val="24"/>
                <w:lang w:val="es-MX" w:eastAsia="es-ES"/>
              </w:rPr>
              <w:t xml:space="preserve"> que, atendiendo a los lineamientos emitidos por el Sistema Nacional, </w:t>
            </w:r>
            <w:r w:rsidRPr="002E383E">
              <w:rPr>
                <w:rFonts w:ascii="Arial" w:eastAsia="Times New Roman" w:hAnsi="Arial" w:cs="Arial"/>
                <w:b/>
                <w:i/>
                <w:sz w:val="24"/>
                <w:szCs w:val="24"/>
                <w:lang w:val="es-MX" w:eastAsia="es-ES"/>
              </w:rPr>
              <w:t>remitan el listado de información que consideren de interés público</w:t>
            </w:r>
            <w:r w:rsidRPr="002E383E">
              <w:rPr>
                <w:rFonts w:ascii="Arial" w:eastAsia="Times New Roman" w:hAnsi="Arial" w:cs="Arial"/>
                <w:i/>
                <w:sz w:val="24"/>
                <w:szCs w:val="24"/>
                <w:lang w:val="es-MX" w:eastAsia="es-ES"/>
              </w:rPr>
              <w:t>;</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2E383E">
              <w:rPr>
                <w:rFonts w:ascii="Arial" w:eastAsia="Times New Roman" w:hAnsi="Arial" w:cs="Arial"/>
                <w:i/>
                <w:sz w:val="24"/>
                <w:szCs w:val="24"/>
                <w:lang w:val="es-MX" w:eastAsia="es-ES"/>
              </w:rPr>
              <w:t xml:space="preserve">II. Revisar el listado que remitió la persona física o </w:t>
            </w:r>
            <w:r>
              <w:rPr>
                <w:rFonts w:ascii="Arial" w:eastAsia="Times New Roman" w:hAnsi="Arial" w:cs="Arial"/>
                <w:i/>
                <w:sz w:val="24"/>
                <w:szCs w:val="24"/>
                <w:lang w:val="es-MX" w:eastAsia="es-ES"/>
              </w:rPr>
              <w:t>jurídica</w:t>
            </w:r>
            <w:r w:rsidRPr="002E383E">
              <w:rPr>
                <w:rFonts w:ascii="Arial" w:eastAsia="Times New Roman" w:hAnsi="Arial" w:cs="Arial"/>
                <w:i/>
                <w:sz w:val="24"/>
                <w:szCs w:val="24"/>
                <w:lang w:val="es-MX" w:eastAsia="es-ES"/>
              </w:rPr>
              <w:t xml:space="preserve"> en la medida en que reciban y ejerzan recursos o realicen actos de autoridad que la normatividad aplicable le otorgue, y</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2E383E">
              <w:rPr>
                <w:rFonts w:ascii="Arial" w:eastAsia="Times New Roman" w:hAnsi="Arial" w:cs="Arial"/>
                <w:i/>
                <w:sz w:val="24"/>
                <w:szCs w:val="24"/>
                <w:lang w:val="es-MX" w:eastAsia="es-ES"/>
              </w:rPr>
              <w:t xml:space="preserve">III. </w:t>
            </w:r>
            <w:r w:rsidRPr="002E383E">
              <w:rPr>
                <w:rFonts w:ascii="Arial" w:eastAsia="Times New Roman" w:hAnsi="Arial" w:cs="Arial"/>
                <w:b/>
                <w:i/>
                <w:sz w:val="24"/>
                <w:szCs w:val="24"/>
                <w:lang w:val="es-MX" w:eastAsia="es-ES"/>
              </w:rPr>
              <w:t>Determinar las obligaciones de transparencia que deben cumplir</w:t>
            </w:r>
            <w:r w:rsidRPr="002E383E">
              <w:rPr>
                <w:rFonts w:ascii="Arial" w:eastAsia="Times New Roman" w:hAnsi="Arial" w:cs="Arial"/>
                <w:i/>
                <w:sz w:val="24"/>
                <w:szCs w:val="24"/>
                <w:lang w:val="es-MX" w:eastAsia="es-ES"/>
              </w:rPr>
              <w:t xml:space="preserve"> y los plazos para ello.</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E383E">
              <w:rPr>
                <w:rFonts w:ascii="Arial" w:eastAsia="Times New Roman" w:hAnsi="Arial" w:cs="Arial"/>
                <w:sz w:val="24"/>
                <w:szCs w:val="24"/>
                <w:lang w:val="es-MX" w:eastAsia="es-ES"/>
              </w:rPr>
              <w:t>En México, la Dirección General de Enlace con Autoridades Laborales, Sindicatos, Universidades, Personas Físicas y Morales es la encargada de elaborar un dictamen</w:t>
            </w:r>
            <w:r w:rsidR="008F09B2">
              <w:rPr>
                <w:rStyle w:val="Refdenotaalpie"/>
                <w:rFonts w:ascii="Arial" w:eastAsia="Times New Roman" w:hAnsi="Arial" w:cs="Arial"/>
                <w:sz w:val="24"/>
                <w:szCs w:val="24"/>
                <w:lang w:val="es-MX" w:eastAsia="es-ES"/>
              </w:rPr>
              <w:footnoteReference w:id="2"/>
            </w:r>
            <w:r w:rsidRPr="002E383E">
              <w:rPr>
                <w:rFonts w:ascii="Arial" w:eastAsia="Times New Roman" w:hAnsi="Arial" w:cs="Arial"/>
                <w:sz w:val="24"/>
                <w:szCs w:val="24"/>
                <w:lang w:val="es-MX" w:eastAsia="es-ES"/>
              </w:rPr>
              <w:t xml:space="preserve"> en el que se toma en cuenta el nivel de financiamiento público recibido, si realiza una función gubernamental, nivel de regulación e involucramiento gubernamental, participación del gobierno en la creación, considerando lo siguiente:</w:t>
            </w: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E383E" w:rsidRDefault="002E383E" w:rsidP="002E383E">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E383E">
              <w:rPr>
                <w:rFonts w:ascii="Arial" w:eastAsia="Times New Roman" w:hAnsi="Arial" w:cs="Arial"/>
                <w:sz w:val="24"/>
                <w:szCs w:val="24"/>
                <w:lang w:val="es-MX" w:eastAsia="es-ES"/>
              </w:rPr>
              <w:t xml:space="preserve">Si en el informe que los sujetos obligados envían al INAI se acredita que las personas físicas o </w:t>
            </w:r>
            <w:r>
              <w:rPr>
                <w:rFonts w:ascii="Arial" w:eastAsia="Times New Roman" w:hAnsi="Arial" w:cs="Arial"/>
                <w:sz w:val="24"/>
                <w:szCs w:val="24"/>
                <w:lang w:val="es-MX" w:eastAsia="es-ES"/>
              </w:rPr>
              <w:t>jurídicas</w:t>
            </w:r>
            <w:r w:rsidRPr="002E383E">
              <w:rPr>
                <w:rFonts w:ascii="Arial" w:eastAsia="Times New Roman" w:hAnsi="Arial" w:cs="Arial"/>
                <w:sz w:val="24"/>
                <w:szCs w:val="24"/>
                <w:lang w:val="es-MX" w:eastAsia="es-ES"/>
              </w:rPr>
              <w:t xml:space="preserve"> </w:t>
            </w:r>
            <w:r w:rsidRPr="002E383E">
              <w:rPr>
                <w:rFonts w:ascii="Arial" w:eastAsia="Times New Roman" w:hAnsi="Arial" w:cs="Arial"/>
                <w:b/>
                <w:sz w:val="24"/>
                <w:szCs w:val="24"/>
                <w:lang w:val="es-MX" w:eastAsia="es-ES"/>
              </w:rPr>
              <w:t>cumplen con los mecanismos de rendición de cuentas que ha instrumentado el sujeto obligado</w:t>
            </w:r>
            <w:r w:rsidRPr="002E383E">
              <w:rPr>
                <w:rFonts w:ascii="Arial" w:eastAsia="Times New Roman" w:hAnsi="Arial" w:cs="Arial"/>
                <w:sz w:val="24"/>
                <w:szCs w:val="24"/>
                <w:lang w:val="es-MX" w:eastAsia="es-ES"/>
              </w:rPr>
              <w:t xml:space="preserve"> que les otorga los recursos o les encomienda los actos de autoridad y que, además, esa información se encuentra en registros públicos de información.</w:t>
            </w:r>
          </w:p>
          <w:p w:rsidR="002E383E" w:rsidRDefault="002E383E" w:rsidP="003279FB">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E383E">
              <w:rPr>
                <w:rFonts w:ascii="Arial" w:eastAsia="Times New Roman" w:hAnsi="Arial" w:cs="Arial"/>
                <w:sz w:val="24"/>
                <w:szCs w:val="24"/>
                <w:lang w:val="es-MX" w:eastAsia="es-ES"/>
              </w:rPr>
              <w:t xml:space="preserve">Si el nivel de financiamiento público anual recibido por la persona física o moral es igual o inferior al equivalente </w:t>
            </w:r>
            <w:r>
              <w:rPr>
                <w:rFonts w:ascii="Arial" w:eastAsia="Times New Roman" w:hAnsi="Arial" w:cs="Arial"/>
                <w:sz w:val="24"/>
                <w:szCs w:val="24"/>
                <w:lang w:val="es-MX" w:eastAsia="es-ES"/>
              </w:rPr>
              <w:t>a</w:t>
            </w:r>
            <w:r w:rsidRPr="002E383E">
              <w:rPr>
                <w:rFonts w:ascii="Arial" w:eastAsia="Times New Roman" w:hAnsi="Arial" w:cs="Arial"/>
                <w:sz w:val="24"/>
                <w:szCs w:val="24"/>
                <w:lang w:val="es-MX" w:eastAsia="es-ES"/>
              </w:rPr>
              <w:t xml:space="preserve"> una </w:t>
            </w:r>
            <w:r>
              <w:rPr>
                <w:rFonts w:ascii="Arial" w:eastAsia="Times New Roman" w:hAnsi="Arial" w:cs="Arial"/>
                <w:sz w:val="24"/>
                <w:szCs w:val="24"/>
                <w:lang w:val="es-MX" w:eastAsia="es-ES"/>
              </w:rPr>
              <w:t>suma</w:t>
            </w:r>
            <w:r w:rsidRPr="002E383E">
              <w:rPr>
                <w:rFonts w:ascii="Arial" w:eastAsia="Times New Roman" w:hAnsi="Arial" w:cs="Arial"/>
                <w:sz w:val="24"/>
                <w:szCs w:val="24"/>
                <w:lang w:val="es-MX" w:eastAsia="es-ES"/>
              </w:rPr>
              <w:t xml:space="preserve"> de dinero especifica</w:t>
            </w:r>
            <w:r>
              <w:rPr>
                <w:rFonts w:ascii="Arial" w:eastAsia="Times New Roman" w:hAnsi="Arial" w:cs="Arial"/>
                <w:sz w:val="24"/>
                <w:szCs w:val="24"/>
                <w:lang w:val="es-MX" w:eastAsia="es-ES"/>
              </w:rPr>
              <w:t>da en la norma</w:t>
            </w:r>
            <w:r w:rsidRPr="002E383E">
              <w:rPr>
                <w:rFonts w:ascii="Arial" w:eastAsia="Times New Roman" w:hAnsi="Arial" w:cs="Arial"/>
                <w:sz w:val="24"/>
                <w:szCs w:val="24"/>
                <w:lang w:val="es-MX" w:eastAsia="es-ES"/>
              </w:rPr>
              <w:t>.</w:t>
            </w:r>
          </w:p>
          <w:p w:rsidR="002E383E" w:rsidRDefault="002E383E" w:rsidP="002E383E">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E383E">
              <w:rPr>
                <w:rFonts w:ascii="Arial" w:eastAsia="Times New Roman" w:hAnsi="Arial" w:cs="Arial"/>
                <w:sz w:val="24"/>
                <w:szCs w:val="24"/>
                <w:lang w:val="es-MX" w:eastAsia="es-ES"/>
              </w:rPr>
              <w:t>Si las personas físicas y jurídicas que reciben y/o ejercen recursos públicos o realizan actos de autoridad, se encuentran sujetos a una norma jurídica que prevé la rendición de cuentas a quien se los otorga o supervisa la realización de los actos.</w:t>
            </w:r>
          </w:p>
          <w:p w:rsidR="002E383E" w:rsidRDefault="002E383E" w:rsidP="002E383E">
            <w:pPr>
              <w:pStyle w:val="Prrafodelista"/>
              <w:ind w:left="10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E383E" w:rsidRPr="002E383E" w:rsidRDefault="002E383E" w:rsidP="002E383E">
            <w:pPr>
              <w:pStyle w:val="Prrafodelista"/>
              <w:ind w:left="10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E383E">
              <w:rPr>
                <w:rFonts w:ascii="Arial" w:eastAsia="Times New Roman" w:hAnsi="Arial" w:cs="Arial"/>
                <w:sz w:val="24"/>
                <w:szCs w:val="24"/>
                <w:lang w:val="es-MX" w:eastAsia="es-ES"/>
              </w:rPr>
              <w:t xml:space="preserve">Cuando las personas físicas y jurídicas que reciban y ejerzan recursos públicos o realicen actos de autoridad cumplan con alguno de los supuestos antes mencionados, </w:t>
            </w:r>
            <w:r w:rsidRPr="002E383E">
              <w:rPr>
                <w:rFonts w:ascii="Arial" w:eastAsia="Times New Roman" w:hAnsi="Arial" w:cs="Arial"/>
                <w:b/>
                <w:sz w:val="24"/>
                <w:szCs w:val="24"/>
                <w:u w:val="single"/>
                <w:lang w:val="es-MX" w:eastAsia="es-ES"/>
              </w:rPr>
              <w:t xml:space="preserve">cumplirán con las obligaciones de transparencia y acceso a la información a través de los sujetos obligados </w:t>
            </w:r>
            <w:r w:rsidRPr="002E383E">
              <w:rPr>
                <w:rFonts w:ascii="Arial" w:eastAsia="Times New Roman" w:hAnsi="Arial" w:cs="Arial"/>
                <w:sz w:val="24"/>
                <w:szCs w:val="24"/>
                <w:lang w:val="es-MX" w:eastAsia="es-ES"/>
              </w:rPr>
              <w:t>que les otorgan los recursos o los facultan para realizar los actos de autoridad.</w:t>
            </w:r>
          </w:p>
          <w:p w:rsidR="002E383E" w:rsidRPr="002E383E" w:rsidRDefault="002E383E" w:rsidP="002E383E">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E383E" w:rsidRPr="002E383E" w:rsidRDefault="002E383E" w:rsidP="002E383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E383E">
              <w:rPr>
                <w:rFonts w:ascii="Arial" w:eastAsia="Times New Roman" w:hAnsi="Arial" w:cs="Arial"/>
                <w:sz w:val="24"/>
                <w:szCs w:val="24"/>
                <w:lang w:val="es-MX" w:eastAsia="es-ES"/>
              </w:rPr>
              <w:t xml:space="preserve">Esto último, de conformidad con los Lineamientos Generales que establecen los criterios para el cumplimiento de las obligaciones de transparencia y acceso a la información a cargo de las personas físicas y </w:t>
            </w:r>
            <w:r>
              <w:rPr>
                <w:rFonts w:ascii="Arial" w:eastAsia="Times New Roman" w:hAnsi="Arial" w:cs="Arial"/>
                <w:sz w:val="24"/>
                <w:szCs w:val="24"/>
                <w:lang w:val="es-MX" w:eastAsia="es-ES"/>
              </w:rPr>
              <w:t>jurídicas</w:t>
            </w:r>
            <w:r w:rsidRPr="002E383E">
              <w:rPr>
                <w:rFonts w:ascii="Arial" w:eastAsia="Times New Roman" w:hAnsi="Arial" w:cs="Arial"/>
                <w:sz w:val="24"/>
                <w:szCs w:val="24"/>
                <w:lang w:val="es-MX" w:eastAsia="es-ES"/>
              </w:rPr>
              <w:t xml:space="preserve"> que reciben y ejercen recursos públicos o realicen actos de autoridad, antes mencionados.</w:t>
            </w:r>
          </w:p>
          <w:p w:rsidR="00231614" w:rsidRDefault="00AE348F" w:rsidP="00BF7AF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8" w:history="1">
              <w:r w:rsidR="002E383E" w:rsidRPr="00B96D54">
                <w:rPr>
                  <w:rStyle w:val="Hipervnculo"/>
                  <w:rFonts w:ascii="Arial" w:eastAsia="Times New Roman" w:hAnsi="Arial" w:cs="Arial"/>
                  <w:sz w:val="24"/>
                  <w:szCs w:val="24"/>
                  <w:lang w:val="es-MX" w:eastAsia="es-ES"/>
                </w:rPr>
                <w:t>http://www.dof.gob.mx/nota_detalle.php?codigo=5476073&amp;fecha=13/03/2017</w:t>
              </w:r>
            </w:hyperlink>
            <w:r w:rsidR="002E383E">
              <w:rPr>
                <w:rFonts w:ascii="Arial" w:eastAsia="Times New Roman" w:hAnsi="Arial" w:cs="Arial"/>
                <w:sz w:val="24"/>
                <w:szCs w:val="24"/>
                <w:lang w:val="es-MX" w:eastAsia="es-ES"/>
              </w:rPr>
              <w:t xml:space="preserve"> </w:t>
            </w:r>
          </w:p>
          <w:p w:rsidR="002E383E" w:rsidRDefault="002E383E" w:rsidP="00BF7AF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457AB" w:rsidRPr="003457AB" w:rsidRDefault="003457AB" w:rsidP="003457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E</w:t>
            </w:r>
            <w:r w:rsidRPr="003457AB">
              <w:rPr>
                <w:rFonts w:ascii="Arial" w:eastAsia="Times New Roman" w:hAnsi="Arial" w:cs="Arial"/>
                <w:sz w:val="24"/>
                <w:szCs w:val="24"/>
                <w:lang w:eastAsia="es-ES"/>
              </w:rPr>
              <w:t>l primer Padrón</w:t>
            </w:r>
            <w:r>
              <w:rPr>
                <w:rFonts w:ascii="Arial" w:eastAsia="Times New Roman" w:hAnsi="Arial" w:cs="Arial"/>
                <w:sz w:val="24"/>
                <w:szCs w:val="24"/>
                <w:lang w:eastAsia="es-ES"/>
              </w:rPr>
              <w:t xml:space="preserve"> del INAI</w:t>
            </w:r>
            <w:r w:rsidRPr="003457AB">
              <w:rPr>
                <w:rFonts w:ascii="Arial" w:eastAsia="Times New Roman" w:hAnsi="Arial" w:cs="Arial"/>
                <w:sz w:val="24"/>
                <w:szCs w:val="24"/>
                <w:lang w:eastAsia="es-ES"/>
              </w:rPr>
              <w:t xml:space="preserve"> se integró con la información correspondiente al ejercicio fiscal 2016 a enero de 2017, el cual fue aprobado por el Pleno del Instituto en sesión de trece de diciembre de dos mil diecisiete, a través del </w:t>
            </w:r>
            <w:r w:rsidRPr="003457AB">
              <w:rPr>
                <w:rFonts w:ascii="Arial" w:eastAsia="Times New Roman" w:hAnsi="Arial" w:cs="Arial"/>
                <w:i/>
                <w:sz w:val="24"/>
                <w:szCs w:val="24"/>
                <w:lang w:eastAsia="es-ES"/>
              </w:rPr>
              <w:t>“Acuerdo mediante el cual se aprueba el Padrón de personas físicas y morales a las que se otorgaron recursos públicos o en términos de las disposiciones aplicables, se facultaron para realizar actos de autoridad durante el ejercicio fiscal dos mil dieciséis y enero de dos mil diecisiete, en el que se determina la forma en que deberán cumplir con sus obligaciones de transparencia y acceso a la información”,</w:t>
            </w:r>
            <w:r w:rsidRPr="003457AB">
              <w:rPr>
                <w:rFonts w:ascii="Arial" w:eastAsia="Times New Roman" w:hAnsi="Arial" w:cs="Arial"/>
                <w:sz w:val="24"/>
                <w:szCs w:val="24"/>
                <w:lang w:eastAsia="es-ES"/>
              </w:rPr>
              <w:t xml:space="preserve"> el cual, fue publicado en el DOF el 28 del mismo mes y año.</w:t>
            </w:r>
          </w:p>
          <w:p w:rsidR="003457AB" w:rsidRPr="003457AB" w:rsidRDefault="003457AB" w:rsidP="003457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3457AB" w:rsidRPr="003457AB" w:rsidRDefault="003457AB" w:rsidP="003457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457AB">
              <w:rPr>
                <w:rFonts w:ascii="Arial" w:eastAsia="Times New Roman" w:hAnsi="Arial" w:cs="Arial"/>
                <w:sz w:val="24"/>
                <w:szCs w:val="24"/>
                <w:lang w:eastAsia="es-ES"/>
              </w:rPr>
              <w:t xml:space="preserve">La actualización del padrón de personas físicas y morales se realiza de manera anual, por lo que recientemente se actualizó dicho padrón con la información a diciembre de 2017, por medio del </w:t>
            </w:r>
            <w:r w:rsidRPr="003457AB">
              <w:rPr>
                <w:rFonts w:ascii="Arial" w:eastAsia="Times New Roman" w:hAnsi="Arial" w:cs="Arial"/>
                <w:i/>
                <w:sz w:val="24"/>
                <w:szCs w:val="24"/>
                <w:lang w:eastAsia="es-ES"/>
              </w:rPr>
              <w:t>“Acuerdo mediante el cual se aprueba la actualización del padrón de personas físicas y morales a las que se otorgaron recursos públicos o en términos de las disposiciones aplicables, se facultaron para realizar actos de autoridad al mes de diciembre del ejercicio fiscal dos mil diecisiete, en el que se determina la forma en que deberán cumplir con sus obligaciones de transparencia y acceso a la información”,</w:t>
            </w:r>
            <w:r w:rsidRPr="003457AB">
              <w:rPr>
                <w:rFonts w:ascii="Arial" w:eastAsia="Times New Roman" w:hAnsi="Arial" w:cs="Arial"/>
                <w:sz w:val="24"/>
                <w:szCs w:val="24"/>
                <w:lang w:eastAsia="es-ES"/>
              </w:rPr>
              <w:t xml:space="preserve"> aprobado en sesión del Pleno del 21 de marzo de 2018 y publicado en el Diario Oficial el 9 de mayo de 2018</w:t>
            </w:r>
          </w:p>
          <w:p w:rsidR="003457AB" w:rsidRPr="003457AB" w:rsidRDefault="003457AB" w:rsidP="003457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3457AB" w:rsidRPr="003457AB" w:rsidRDefault="003457AB" w:rsidP="003457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457AB">
              <w:rPr>
                <w:rFonts w:ascii="Arial" w:eastAsia="Times New Roman" w:hAnsi="Arial" w:cs="Arial"/>
                <w:sz w:val="24"/>
                <w:szCs w:val="24"/>
                <w:lang w:eastAsia="es-ES"/>
              </w:rPr>
              <w:t xml:space="preserve">La información se encuentra disponible en el </w:t>
            </w:r>
            <w:r w:rsidR="00B82865" w:rsidRPr="003457AB">
              <w:rPr>
                <w:rFonts w:ascii="Arial" w:eastAsia="Times New Roman" w:hAnsi="Arial" w:cs="Arial"/>
                <w:sz w:val="24"/>
                <w:szCs w:val="24"/>
                <w:lang w:eastAsia="es-ES"/>
              </w:rPr>
              <w:t>micro sitio</w:t>
            </w:r>
            <w:r w:rsidRPr="003457AB">
              <w:rPr>
                <w:rFonts w:ascii="Arial" w:eastAsia="Times New Roman" w:hAnsi="Arial" w:cs="Arial"/>
                <w:sz w:val="24"/>
                <w:szCs w:val="24"/>
                <w:lang w:eastAsia="es-ES"/>
              </w:rPr>
              <w:t xml:space="preserve"> de la página del INAI:</w:t>
            </w:r>
          </w:p>
          <w:p w:rsidR="003457AB" w:rsidRPr="003457AB" w:rsidRDefault="003457AB" w:rsidP="003457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457AB">
              <w:rPr>
                <w:rFonts w:ascii="Arial" w:eastAsia="Times New Roman" w:hAnsi="Arial" w:cs="Arial"/>
                <w:sz w:val="24"/>
                <w:szCs w:val="24"/>
                <w:lang w:eastAsia="es-ES"/>
              </w:rPr>
              <w:t xml:space="preserve"> </w:t>
            </w:r>
          </w:p>
          <w:p w:rsidR="003457AB" w:rsidRPr="003457AB" w:rsidRDefault="003457AB" w:rsidP="00BF7AF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hyperlink r:id="rId9" w:history="1">
              <w:r w:rsidRPr="003457AB">
                <w:rPr>
                  <w:rStyle w:val="Hipervnculo"/>
                  <w:rFonts w:ascii="Arial" w:eastAsia="Times New Roman" w:hAnsi="Arial" w:cs="Arial"/>
                  <w:sz w:val="24"/>
                  <w:szCs w:val="24"/>
                  <w:lang w:eastAsia="es-ES"/>
                </w:rPr>
                <w:t>http://inicio.inai.org.mx/SitePages/ppfm.aspx</w:t>
              </w:r>
            </w:hyperlink>
            <w:r w:rsidRPr="003457AB">
              <w:rPr>
                <w:rFonts w:ascii="Arial" w:eastAsia="Times New Roman" w:hAnsi="Arial" w:cs="Arial"/>
                <w:sz w:val="24"/>
                <w:szCs w:val="24"/>
                <w:lang w:eastAsia="es-ES"/>
              </w:rPr>
              <w:t xml:space="preserve"> </w:t>
            </w:r>
          </w:p>
          <w:p w:rsidR="003457AB" w:rsidRPr="00BF7AF5" w:rsidRDefault="003457AB" w:rsidP="00BF7AF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CC3E99" w:rsidRPr="00F616B7" w:rsidRDefault="00FF70CD"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24"/>
                <w:szCs w:val="24"/>
                <w:lang w:val="es-MX"/>
              </w:rPr>
            </w:pPr>
            <w:r w:rsidRPr="00CC3E99">
              <w:rPr>
                <w:rFonts w:ascii="Arial" w:eastAsia="Times New Roman" w:hAnsi="Arial" w:cs="Arial"/>
                <w:b/>
                <w:iCs/>
                <w:sz w:val="24"/>
                <w:szCs w:val="24"/>
                <w:lang w:val="es-MX"/>
              </w:rPr>
              <w:t>¿</w:t>
            </w:r>
            <w:r w:rsidR="00EA6DB9" w:rsidRPr="00CC3E99">
              <w:rPr>
                <w:rFonts w:ascii="Arial" w:eastAsia="Times New Roman" w:hAnsi="Arial" w:cs="Arial"/>
                <w:b/>
                <w:iCs/>
                <w:sz w:val="24"/>
                <w:szCs w:val="24"/>
                <w:lang w:val="es-MX"/>
              </w:rPr>
              <w:t>Cómo se podría fortalecer la rendición de cuentas y la transparencia en su país, mediante la regulación de personas jurídicas y físicas que ejerzan recursos públicos o realicen actos de autoridad?</w:t>
            </w:r>
          </w:p>
          <w:p w:rsidR="00F616B7" w:rsidRDefault="00F616B7"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Para responder la presente pregunta se considera pertinente citar </w:t>
            </w:r>
            <w:r>
              <w:rPr>
                <w:rFonts w:ascii="Arial" w:eastAsia="Times New Roman" w:hAnsi="Arial" w:cs="Arial"/>
                <w:sz w:val="23"/>
                <w:szCs w:val="23"/>
                <w:lang w:eastAsia="es-MX"/>
              </w:rPr>
              <w:t>al Dr. López Ayllón, en la publicación “</w:t>
            </w:r>
            <w:r w:rsidRPr="008D629F">
              <w:rPr>
                <w:rFonts w:ascii="Arial" w:eastAsia="Times New Roman" w:hAnsi="Arial" w:cs="Arial"/>
                <w:bCs/>
                <w:sz w:val="23"/>
                <w:szCs w:val="23"/>
                <w:lang w:eastAsia="es-MX"/>
              </w:rPr>
              <w:t>El acceso a la información como un derecho fundamental: La reforma al artículo 6° de la Constitución mexicana”</w:t>
            </w:r>
            <w:r>
              <w:rPr>
                <w:rStyle w:val="Refdenotaalpie"/>
                <w:rFonts w:ascii="Arial" w:eastAsia="Times New Roman" w:hAnsi="Arial" w:cs="Arial"/>
                <w:bCs/>
                <w:sz w:val="23"/>
                <w:szCs w:val="23"/>
                <w:lang w:eastAsia="es-MX"/>
              </w:rPr>
              <w:footnoteReference w:id="3"/>
            </w:r>
            <w:r>
              <w:rPr>
                <w:rFonts w:ascii="Arial" w:eastAsia="Times New Roman" w:hAnsi="Arial" w:cs="Arial"/>
                <w:bCs/>
                <w:sz w:val="23"/>
                <w:szCs w:val="23"/>
                <w:lang w:eastAsia="es-MX"/>
              </w:rPr>
              <w:t>:</w:t>
            </w:r>
          </w:p>
          <w:p w:rsidR="00F616B7" w:rsidRDefault="00F616B7"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F616B7" w:rsidRDefault="00F616B7"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w:t>
            </w:r>
            <w:r w:rsidRPr="00F616B7">
              <w:rPr>
                <w:rFonts w:ascii="Arial" w:eastAsia="Times New Roman" w:hAnsi="Arial" w:cs="Arial"/>
                <w:iCs/>
                <w:sz w:val="24"/>
                <w:szCs w:val="24"/>
              </w:rPr>
              <w:t xml:space="preserve">Comenzaremos por reconocer que existen personas privadas que ejercen funciones públicas. Es el caso de los notarios públicos, de los concesionarios de bienes o servicios públicos (como los de telefonía, de transporte de pasajeros o de recolección de basura), de los colegios de profesionistas o cámaras comerciales o industriales y aun de los sindicatos. La pregunta es si son sujetos obligados del derecho de acceso a la información y, de ser así, cuáles son los mecanismos para hacerlo efectivo frente a ellos. </w:t>
            </w:r>
          </w:p>
          <w:p w:rsidR="00F616B7" w:rsidRDefault="00F616B7"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F616B7" w:rsidRDefault="00F616B7"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F616B7">
              <w:rPr>
                <w:rFonts w:ascii="Arial" w:eastAsia="Times New Roman" w:hAnsi="Arial" w:cs="Arial"/>
                <w:iCs/>
                <w:sz w:val="24"/>
                <w:szCs w:val="24"/>
              </w:rPr>
              <w:t>La amplitud del derecho de acceso a la información permite afirmar que</w:t>
            </w:r>
            <w:r>
              <w:rPr>
                <w:rFonts w:ascii="Arial" w:eastAsia="Times New Roman" w:hAnsi="Arial" w:cs="Arial"/>
                <w:iCs/>
                <w:sz w:val="24"/>
                <w:szCs w:val="24"/>
              </w:rPr>
              <w:t xml:space="preserve"> </w:t>
            </w:r>
            <w:r w:rsidRPr="00F616B7">
              <w:rPr>
                <w:rFonts w:ascii="Arial" w:eastAsia="Times New Roman" w:hAnsi="Arial" w:cs="Arial"/>
                <w:iCs/>
                <w:sz w:val="24"/>
                <w:szCs w:val="24"/>
              </w:rPr>
              <w:t xml:space="preserve">también son sujetos obligados. Esto es así porque cuando ejercen funciones de "autoridad" quedan comprendidos dentro de la fracción I del segundo párrafo del artículo 6º constitucional. El problema radica en determinar cuál es el procedimiento para acceder a la información de estos sujetos. La respuesta es relativamente simple: la información debe solicitarse a través de las autoridades que los supervisan o controlan. ¿Quiere decir que todas las actividades de todos estos sujetos privados pueden ser objeto del derecho de acceso a la información? </w:t>
            </w:r>
          </w:p>
          <w:p w:rsidR="00CC3E99" w:rsidRDefault="00F616B7"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F616B7">
              <w:rPr>
                <w:rFonts w:ascii="Arial" w:eastAsia="Times New Roman" w:hAnsi="Arial" w:cs="Arial"/>
                <w:iCs/>
                <w:sz w:val="24"/>
                <w:szCs w:val="24"/>
              </w:rPr>
              <w:t>Nos parece que la respuesta es negativa y que éste se limita a aquellas actividades relacionadas directamente con las funciones públicas.</w:t>
            </w:r>
          </w:p>
          <w:p w:rsidR="00F616B7" w:rsidRDefault="00F616B7"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F616B7" w:rsidRPr="00F616B7" w:rsidRDefault="00F616B7" w:rsidP="00F616B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F616B7">
              <w:rPr>
                <w:rFonts w:ascii="Arial" w:eastAsia="Times New Roman" w:hAnsi="Arial" w:cs="Arial"/>
                <w:iCs/>
                <w:sz w:val="24"/>
                <w:szCs w:val="24"/>
              </w:rPr>
              <w:t>En cuanto a las personas físicas o morales que reciban o ejerzan recursos públicos, la fracción VI del articulo 6° del párrafo segundo de la Constitución establece que las leyes determinarán la manera en que los sujetos obligados deberán hacer pública la información relativa a los recursos públicos que entreguen a personas físicas o morales. Esta fracción aclara uno de los problemas más comunes de la legislación estatal en materia de acceso a la información, que frecuentemente establecía dentro de los sujetos obligados a "cualquier persona que reciba recursos públicos". Este tipo de disposición presenta diversos problemas, tanto jurídicos como prácticos. Desde el punto de vista jurídico, el hecho de que una persona</w:t>
            </w:r>
            <w:r>
              <w:rPr>
                <w:rFonts w:ascii="Arial" w:eastAsia="Times New Roman" w:hAnsi="Arial" w:cs="Arial"/>
                <w:iCs/>
                <w:sz w:val="24"/>
                <w:szCs w:val="24"/>
              </w:rPr>
              <w:t xml:space="preserve"> </w:t>
            </w:r>
            <w:r w:rsidRPr="00F616B7">
              <w:rPr>
                <w:rFonts w:ascii="Arial" w:eastAsia="Times New Roman" w:hAnsi="Arial" w:cs="Arial"/>
                <w:iCs/>
                <w:sz w:val="24"/>
                <w:szCs w:val="24"/>
              </w:rPr>
              <w:t xml:space="preserve">reciba recursos públicos no hace </w:t>
            </w:r>
            <w:r w:rsidRPr="00F616B7">
              <w:rPr>
                <w:rFonts w:ascii="Arial" w:eastAsia="Times New Roman" w:hAnsi="Arial" w:cs="Arial"/>
                <w:i/>
                <w:iCs/>
                <w:sz w:val="24"/>
                <w:szCs w:val="24"/>
              </w:rPr>
              <w:t>per se</w:t>
            </w:r>
            <w:r w:rsidRPr="00F616B7">
              <w:rPr>
                <w:rFonts w:ascii="Arial" w:eastAsia="Times New Roman" w:hAnsi="Arial" w:cs="Arial"/>
                <w:iCs/>
                <w:sz w:val="24"/>
                <w:szCs w:val="24"/>
              </w:rPr>
              <w:t xml:space="preserve"> que su actividad se convierta en una actividad pública; pensemos, por ejemplo, en las familias que reciben recursos del Programa Oportunidades, de los adultos mayores que reciben una cantidad mensual o de un becario. Desde el punto de vista práctico, sería imposible que esas personas cumplieran con los requisitos que establece la ley. La reforma constitucional precisa así, que la obligación de rendir cuentas respecto de la entrega de los recursos públicos a particulares corresponde a la autoridad que los otorga, y que la legislación secundaria debe precisar la manera en que esto se concreta.</w:t>
            </w:r>
            <w:r>
              <w:rPr>
                <w:rFonts w:ascii="Arial" w:eastAsia="Times New Roman" w:hAnsi="Arial" w:cs="Arial"/>
                <w:iCs/>
                <w:sz w:val="24"/>
                <w:szCs w:val="24"/>
              </w:rPr>
              <w:t>”</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rsidR="009E2A68" w:rsidRDefault="00F616B7"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F616B7">
              <w:rPr>
                <w:rFonts w:ascii="Arial" w:eastAsia="Times New Roman" w:hAnsi="Arial" w:cs="Arial"/>
                <w:iCs/>
                <w:sz w:val="24"/>
                <w:szCs w:val="24"/>
              </w:rPr>
              <w:t>México considera de gran relevancia que se regule de manera adecuada e integral a todo tipo de personas que ejerzan recursos públicos. Andreas Schedler define la rendición de cuentas como el resultado de dos elementos: “answerability” y “enforcement”. El primero versa sobre la obligación que tienen los servidores públicos o cualquier persona que ejerza recursos públicos de informar y justificar sus acciones. El segundo, por su parte, tiene que ver con la capacidad de sanción que se puede dar en caso de que no se acate lo establecido en la ley relativo a sus funciones públicas. En este sentido, es importante resaltar que las consideraciones que se abordan en relación a este tema repercuten de manera directa en el fortalecimiento del “answerability” criterio necesario para que se dé una efectiva rendición de cuentas en cualquier país.</w:t>
            </w:r>
          </w:p>
          <w:p w:rsidR="00B82865" w:rsidRDefault="00B82865"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B82865" w:rsidRPr="008F4832" w:rsidRDefault="00B82865"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w:t>
            </w:r>
            <w:r w:rsidRPr="00B82865">
              <w:rPr>
                <w:rFonts w:ascii="Arial" w:eastAsia="Times New Roman" w:hAnsi="Arial" w:cs="Arial"/>
                <w:iCs/>
                <w:sz w:val="24"/>
                <w:szCs w:val="24"/>
              </w:rPr>
              <w:t>s importante que el tratamiento de estas personas físicas o morales que reciba</w:t>
            </w:r>
            <w:r>
              <w:rPr>
                <w:rFonts w:ascii="Arial" w:eastAsia="Times New Roman" w:hAnsi="Arial" w:cs="Arial"/>
                <w:iCs/>
                <w:sz w:val="24"/>
                <w:szCs w:val="24"/>
              </w:rPr>
              <w:t>n</w:t>
            </w:r>
            <w:r w:rsidRPr="00B82865">
              <w:rPr>
                <w:rFonts w:ascii="Arial" w:eastAsia="Times New Roman" w:hAnsi="Arial" w:cs="Arial"/>
                <w:iCs/>
                <w:sz w:val="24"/>
                <w:szCs w:val="24"/>
              </w:rPr>
              <w:t xml:space="preserve"> y ejerza</w:t>
            </w:r>
            <w:r>
              <w:rPr>
                <w:rFonts w:ascii="Arial" w:eastAsia="Times New Roman" w:hAnsi="Arial" w:cs="Arial"/>
                <w:iCs/>
                <w:sz w:val="24"/>
                <w:szCs w:val="24"/>
              </w:rPr>
              <w:t>n</w:t>
            </w:r>
            <w:r w:rsidRPr="00B82865">
              <w:rPr>
                <w:rFonts w:ascii="Arial" w:eastAsia="Times New Roman" w:hAnsi="Arial" w:cs="Arial"/>
                <w:iCs/>
                <w:sz w:val="24"/>
                <w:szCs w:val="24"/>
              </w:rPr>
              <w:t xml:space="preserve"> recursos públicos o realice</w:t>
            </w:r>
            <w:r>
              <w:rPr>
                <w:rFonts w:ascii="Arial" w:eastAsia="Times New Roman" w:hAnsi="Arial" w:cs="Arial"/>
                <w:iCs/>
                <w:sz w:val="24"/>
                <w:szCs w:val="24"/>
              </w:rPr>
              <w:t>n</w:t>
            </w:r>
            <w:r w:rsidRPr="00B82865">
              <w:rPr>
                <w:rFonts w:ascii="Arial" w:eastAsia="Times New Roman" w:hAnsi="Arial" w:cs="Arial"/>
                <w:iCs/>
                <w:sz w:val="24"/>
                <w:szCs w:val="24"/>
              </w:rPr>
              <w:t xml:space="preserve"> actos de autoridad se lleve a cabo contemplando evitar la duplicidad de tareas y competencias (por ejemplo de las instancias fiscalizadoras y de transparencia) y de información (la información ya está disponible en registros públicos y ya cuenta con mecanismos de rendición de cuentas y se publica de en diversas fracciones, en este caso, por los sujetos obligados en el Sistema de Portales de Obligaciones de Transparencia).</w:t>
            </w: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9E2A68" w:rsidRDefault="0039577D"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Definir conceptos;</w:t>
            </w:r>
          </w:p>
          <w:p w:rsidR="0039577D" w:rsidRDefault="0039577D"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Establecer lineamientos que regulen la rendición de cuentas de dichos sujetos obligados, y</w:t>
            </w:r>
          </w:p>
          <w:p w:rsidR="0039577D" w:rsidRDefault="0039577D"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Establecer mecanismos de seguimiento a sus obligaciones de transparencia. Esto, a cargo de los órganos garantes del DAI</w:t>
            </w:r>
            <w:r w:rsidR="00B82865">
              <w:rPr>
                <w:rFonts w:ascii="Arial" w:eastAsia="Times New Roman" w:hAnsi="Arial" w:cs="Arial"/>
                <w:iCs/>
                <w:sz w:val="24"/>
                <w:szCs w:val="24"/>
              </w:rPr>
              <w:t>.</w:t>
            </w:r>
          </w:p>
          <w:p w:rsidR="00B82865" w:rsidRPr="00B82865" w:rsidRDefault="00B82865" w:rsidP="00B8286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D</w:t>
            </w:r>
            <w:r w:rsidRPr="00B82865">
              <w:rPr>
                <w:rFonts w:ascii="Arial" w:eastAsia="Times New Roman" w:hAnsi="Arial" w:cs="Arial"/>
                <w:iCs/>
                <w:sz w:val="24"/>
                <w:szCs w:val="24"/>
              </w:rPr>
              <w:t xml:space="preserve">ar mayor énfasis en la información que los sujetos obligados (instituciones que otorgan los recursos) puedan generar del otorgamiento de recursos públicos a personas físicas y </w:t>
            </w:r>
            <w:r>
              <w:rPr>
                <w:rFonts w:ascii="Arial" w:eastAsia="Times New Roman" w:hAnsi="Arial" w:cs="Arial"/>
                <w:iCs/>
                <w:sz w:val="24"/>
                <w:szCs w:val="24"/>
              </w:rPr>
              <w:t>jurídicas</w:t>
            </w:r>
            <w:r w:rsidRPr="00B82865">
              <w:rPr>
                <w:rFonts w:ascii="Arial" w:eastAsia="Times New Roman" w:hAnsi="Arial" w:cs="Arial"/>
                <w:iCs/>
                <w:sz w:val="24"/>
                <w:szCs w:val="24"/>
              </w:rPr>
              <w:t>, es decir aquella que resulte de interés público y sea benéfica para la sociedad.</w:t>
            </w:r>
          </w:p>
          <w:p w:rsidR="00B82865" w:rsidRPr="00B82865" w:rsidRDefault="00B82865" w:rsidP="00B8286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B82865" w:rsidRPr="008F4832" w:rsidRDefault="00B82865" w:rsidP="00B8286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B82865">
              <w:rPr>
                <w:rFonts w:ascii="Arial" w:eastAsia="Times New Roman" w:hAnsi="Arial" w:cs="Arial"/>
                <w:iCs/>
                <w:sz w:val="24"/>
                <w:szCs w:val="24"/>
              </w:rPr>
              <w:t>En el caso de México, el artículo 82 de la Ley General de Transparencia contempla que los sujetos que otorgan recursos públicos a personas físicas o morales o les facultan para realizar actos de autoridad remitan al organismo garante (el INAI) el listado de información que consideren de interés público, para su análisis y determinación de las obligaciones de transparencia que deben cumplir, así como los plazos para ello.</w:t>
            </w:r>
            <w:r>
              <w:rPr>
                <w:rFonts w:ascii="Arial" w:eastAsia="Times New Roman" w:hAnsi="Arial" w:cs="Arial"/>
                <w:iCs/>
                <w:sz w:val="24"/>
                <w:szCs w:val="24"/>
              </w:rPr>
              <w:t xml:space="preserve"> </w:t>
            </w:r>
            <w:r w:rsidRPr="00B82865">
              <w:rPr>
                <w:rFonts w:ascii="Arial" w:eastAsia="Times New Roman" w:hAnsi="Arial" w:cs="Arial"/>
                <w:iCs/>
                <w:sz w:val="24"/>
                <w:szCs w:val="24"/>
              </w:rPr>
              <w:t>La información de los sujetos obligados aprobada en el Catálogo, se constituirá como una de sus obligaciones de transparencia, la cual deberá ser publicada en el Sistema de Portal de Obligaciones de Transparencia (SIPOT) en los formatos correspondientes de los artículos 70, fracción XLVIII, y 82.</w:t>
            </w:r>
            <w:bookmarkStart w:id="0" w:name="_GoBack"/>
            <w:bookmarkEnd w:id="0"/>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9E2A68" w:rsidRPr="009E2A68"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tc>
      </w:tr>
    </w:tbl>
    <w:p w:rsidR="004B612B" w:rsidRPr="008F4832" w:rsidRDefault="004B612B" w:rsidP="008F4832">
      <w:pPr>
        <w:spacing w:after="0"/>
        <w:jc w:val="both"/>
        <w:rPr>
          <w:rFonts w:ascii="Arial" w:hAnsi="Arial" w:cs="Arial"/>
          <w:sz w:val="24"/>
          <w:szCs w:val="24"/>
        </w:rPr>
      </w:pPr>
    </w:p>
    <w:p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10"/>
      <w:footerReference w:type="default" r:id="rId11"/>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8F" w:rsidRDefault="00AE348F" w:rsidP="009E2A68">
      <w:pPr>
        <w:spacing w:after="0" w:line="240" w:lineRule="auto"/>
      </w:pPr>
      <w:r>
        <w:separator/>
      </w:r>
    </w:p>
  </w:endnote>
  <w:endnote w:type="continuationSeparator" w:id="0">
    <w:p w:rsidR="00AE348F" w:rsidRDefault="00AE348F"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AE348F">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AE348F">
              <w:rPr>
                <w:rFonts w:ascii="Arial" w:hAnsi="Arial" w:cs="Arial"/>
                <w:b/>
                <w:bCs/>
                <w:noProof/>
                <w:sz w:val="18"/>
              </w:rPr>
              <w:t>1</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8F" w:rsidRDefault="00AE348F" w:rsidP="009E2A68">
      <w:pPr>
        <w:spacing w:after="0" w:line="240" w:lineRule="auto"/>
      </w:pPr>
      <w:r>
        <w:separator/>
      </w:r>
    </w:p>
  </w:footnote>
  <w:footnote w:type="continuationSeparator" w:id="0">
    <w:p w:rsidR="00AE348F" w:rsidRDefault="00AE348F" w:rsidP="009E2A68">
      <w:pPr>
        <w:spacing w:after="0" w:line="240" w:lineRule="auto"/>
      </w:pPr>
      <w:r>
        <w:continuationSeparator/>
      </w:r>
    </w:p>
  </w:footnote>
  <w:footnote w:id="1">
    <w:p w:rsidR="00D43EE0" w:rsidRPr="008F09B2" w:rsidRDefault="00D43EE0" w:rsidP="00D43EE0">
      <w:pPr>
        <w:pStyle w:val="Textonotapie"/>
        <w:jc w:val="both"/>
        <w:rPr>
          <w:rFonts w:ascii="Arial" w:hAnsi="Arial" w:cs="Arial"/>
          <w:sz w:val="18"/>
        </w:rPr>
      </w:pPr>
      <w:r w:rsidRPr="008F09B2">
        <w:rPr>
          <w:rStyle w:val="Refdenotaalpie"/>
          <w:rFonts w:ascii="Arial" w:hAnsi="Arial" w:cs="Arial"/>
          <w:sz w:val="18"/>
        </w:rPr>
        <w:footnoteRef/>
      </w:r>
      <w:r w:rsidRPr="008F09B2">
        <w:rPr>
          <w:rFonts w:ascii="Arial" w:hAnsi="Arial" w:cs="Arial"/>
          <w:sz w:val="18"/>
        </w:rPr>
        <w:t xml:space="preserve"> </w:t>
      </w:r>
      <w:r w:rsidRPr="008F09B2">
        <w:rPr>
          <w:rFonts w:ascii="Arial" w:hAnsi="Arial" w:cs="Arial"/>
          <w:sz w:val="18"/>
          <w:lang w:val="es-ES"/>
        </w:rPr>
        <w:t>Se entiende por “programas sociales”, Programas de gobierno que surgen de acuerdo con requerimientos específicos de la población y que buscan impulsar el desarrollo social y humano de los mexicanos; así como facilitar la realización de acciones y metas orientadas a la evaluación, el seguimiento y la resolución de dichos proyectos.</w:t>
      </w:r>
    </w:p>
  </w:footnote>
  <w:footnote w:id="2">
    <w:p w:rsidR="008F09B2" w:rsidRPr="008F09B2" w:rsidRDefault="008F09B2" w:rsidP="008F09B2">
      <w:pPr>
        <w:pStyle w:val="Textonotapie"/>
        <w:jc w:val="both"/>
        <w:rPr>
          <w:rFonts w:ascii="Arial" w:hAnsi="Arial" w:cs="Arial"/>
          <w:sz w:val="18"/>
          <w:lang w:val="es-ES"/>
        </w:rPr>
      </w:pPr>
      <w:r w:rsidRPr="008F09B2">
        <w:rPr>
          <w:rStyle w:val="Refdenotaalpie"/>
          <w:rFonts w:ascii="Arial" w:hAnsi="Arial" w:cs="Arial"/>
          <w:sz w:val="18"/>
        </w:rPr>
        <w:footnoteRef/>
      </w:r>
      <w:r w:rsidRPr="008F09B2">
        <w:rPr>
          <w:rFonts w:ascii="Arial" w:hAnsi="Arial" w:cs="Arial"/>
          <w:sz w:val="18"/>
        </w:rPr>
        <w:t xml:space="preserve"> </w:t>
      </w:r>
      <w:r w:rsidRPr="008F09B2">
        <w:rPr>
          <w:rFonts w:ascii="Arial" w:hAnsi="Arial" w:cs="Arial"/>
          <w:b/>
          <w:sz w:val="18"/>
        </w:rPr>
        <w:t>E</w:t>
      </w:r>
      <w:r w:rsidRPr="008F09B2">
        <w:rPr>
          <w:rFonts w:ascii="Arial" w:hAnsi="Arial" w:cs="Arial"/>
          <w:b/>
          <w:sz w:val="18"/>
          <w:lang w:val="es-ES"/>
        </w:rPr>
        <w:t>l resultado fin</w:t>
      </w:r>
      <w:r>
        <w:rPr>
          <w:rFonts w:ascii="Arial" w:hAnsi="Arial" w:cs="Arial"/>
          <w:b/>
          <w:sz w:val="18"/>
          <w:lang w:val="es-ES"/>
        </w:rPr>
        <w:t xml:space="preserve">al del dictamen referido </w:t>
      </w:r>
      <w:r w:rsidRPr="008F09B2">
        <w:rPr>
          <w:rFonts w:ascii="Arial" w:hAnsi="Arial" w:cs="Arial"/>
          <w:b/>
          <w:sz w:val="18"/>
          <w:lang w:val="es-ES"/>
        </w:rPr>
        <w:t xml:space="preserve">es </w:t>
      </w:r>
      <w:r w:rsidRPr="008F09B2">
        <w:rPr>
          <w:rFonts w:ascii="Arial" w:hAnsi="Arial" w:cs="Arial"/>
          <w:sz w:val="18"/>
          <w:lang w:val="es-ES"/>
        </w:rPr>
        <w:t/>
      </w:r>
      <w:r w:rsidRPr="008F09B2">
        <w:rPr>
          <w:rFonts w:ascii="Arial" w:hAnsi="Arial" w:cs="Arial"/>
          <w:b/>
          <w:sz w:val="18"/>
          <w:lang w:val="es-ES"/>
        </w:rPr>
        <w:t xml:space="preserve">el Padrón de Personas Físicas y Morales. </w:t>
      </w:r>
      <w:r>
        <w:rPr>
          <w:rFonts w:ascii="Arial" w:hAnsi="Arial" w:cs="Arial"/>
          <w:sz w:val="18"/>
          <w:lang w:val="es-ES"/>
        </w:rPr>
        <w:t>É</w:t>
      </w:r>
      <w:r w:rsidRPr="008F09B2">
        <w:rPr>
          <w:rFonts w:ascii="Arial" w:hAnsi="Arial" w:cs="Arial"/>
          <w:sz w:val="18"/>
          <w:lang w:val="es-ES"/>
        </w:rPr>
        <w:t>ste</w:t>
      </w:r>
      <w:r w:rsidRPr="008F09B2">
        <w:rPr>
          <w:rFonts w:ascii="Arial" w:hAnsi="Arial" w:cs="Arial"/>
          <w:b/>
          <w:sz w:val="18"/>
          <w:lang w:val="es-ES"/>
        </w:rPr>
        <w:t xml:space="preserve"> </w:t>
      </w:r>
      <w:r w:rsidRPr="008F09B2">
        <w:rPr>
          <w:rFonts w:ascii="Arial" w:hAnsi="Arial" w:cs="Arial"/>
          <w:sz w:val="18"/>
          <w:lang w:val="es-ES"/>
        </w:rPr>
        <w:t xml:space="preserve">es el listado de personas físicas o morales que reciben y ejercen recursos públicos o que realizan actos de autoridad en el ámbito federal. Este listado se conforma con la información proporcionada por los Sujetos Obligados que otorgan los recursos o que facultan para la realización de los actos de autoridad, de conformidad con los artículos 81 de la Ley General y 75 de la Ley Federal de Transparencia y Acceso a la Información, así como de las disposiciones establecidas en los </w:t>
      </w:r>
      <w:r w:rsidRPr="008F09B2">
        <w:rPr>
          <w:rFonts w:ascii="Arial" w:hAnsi="Arial" w:cs="Arial"/>
          <w:i/>
          <w:sz w:val="18"/>
          <w:lang w:val="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F09B2">
        <w:rPr>
          <w:rFonts w:ascii="Arial" w:hAnsi="Arial" w:cs="Arial"/>
          <w:sz w:val="18"/>
          <w:lang w:val="es-ES"/>
        </w:rPr>
        <w:t xml:space="preserve">. En él se identifica la </w:t>
      </w:r>
      <w:r>
        <w:rPr>
          <w:rFonts w:ascii="Arial" w:hAnsi="Arial" w:cs="Arial"/>
          <w:sz w:val="18"/>
          <w:lang w:val="es-ES"/>
        </w:rPr>
        <w:t>forma</w:t>
      </w:r>
      <w:r w:rsidRPr="008F09B2">
        <w:rPr>
          <w:rFonts w:ascii="Arial" w:hAnsi="Arial" w:cs="Arial"/>
          <w:sz w:val="18"/>
          <w:lang w:val="es-ES"/>
        </w:rPr>
        <w:t xml:space="preserve"> en que estas personas físicas o morales deberán cumplir con sus obligaciones de transparencia y acceso a la información; es decir, de manera directa o a través del sujeto obligado que les asigna recursos públicos o les encomienda actos de autoridad.</w:t>
      </w:r>
    </w:p>
    <w:p w:rsidR="008F09B2" w:rsidRPr="008F09B2" w:rsidRDefault="008F09B2">
      <w:pPr>
        <w:pStyle w:val="Textonotapie"/>
        <w:rPr>
          <w:rFonts w:ascii="Arial" w:hAnsi="Arial" w:cs="Arial"/>
          <w:sz w:val="18"/>
          <w:lang w:val="es-ES"/>
        </w:rPr>
      </w:pPr>
    </w:p>
  </w:footnote>
  <w:footnote w:id="3">
    <w:p w:rsidR="00F616B7" w:rsidRPr="008F09B2" w:rsidRDefault="00F616B7" w:rsidP="00F616B7">
      <w:pPr>
        <w:pStyle w:val="Textonotapie"/>
        <w:rPr>
          <w:rFonts w:ascii="Arial" w:hAnsi="Arial" w:cs="Arial"/>
          <w:sz w:val="18"/>
        </w:rPr>
      </w:pPr>
      <w:r w:rsidRPr="008F09B2">
        <w:rPr>
          <w:rStyle w:val="Refdenotaalpie"/>
          <w:rFonts w:ascii="Arial" w:hAnsi="Arial" w:cs="Arial"/>
          <w:sz w:val="18"/>
        </w:rPr>
        <w:footnoteRef/>
      </w:r>
      <w:r w:rsidRPr="008F09B2">
        <w:rPr>
          <w:rFonts w:ascii="Arial" w:hAnsi="Arial" w:cs="Arial"/>
          <w:sz w:val="18"/>
        </w:rPr>
        <w:t xml:space="preserve"> López Ayllón, Sergio. </w:t>
      </w:r>
      <w:r w:rsidRPr="008F09B2">
        <w:rPr>
          <w:rFonts w:ascii="Arial" w:hAnsi="Arial" w:cs="Arial"/>
          <w:bCs/>
          <w:sz w:val="18"/>
        </w:rPr>
        <w:t>El acceso a la información como un derecho fundamental: La reforma al artículo 6° de la Constitución mexicana. Cuadernos de Transparencia No. 17. México, 2015. Comité Editorial del INAI.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E811C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w:t>
    </w:r>
    <w:r w:rsidR="00414DD1">
      <w:rPr>
        <w:rFonts w:ascii="Arial" w:hAnsi="Arial" w:cs="Arial"/>
        <w:smallCaps/>
        <w:sz w:val="24"/>
        <w:szCs w:val="24"/>
      </w:rPr>
      <w:t>osicionamiento</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4C3FFD">
      <w:rPr>
        <w:rFonts w:ascii="Arial" w:hAnsi="Arial" w:cs="Arial"/>
        <w:b/>
        <w:smallCaps/>
        <w:sz w:val="24"/>
        <w:szCs w:val="24"/>
      </w:rPr>
      <w:t>Séptimo</w:t>
    </w:r>
    <w:r w:rsidR="00414DD1">
      <w:rPr>
        <w:rFonts w:ascii="Arial" w:hAnsi="Arial" w:cs="Arial"/>
        <w:b/>
        <w:smallCaps/>
        <w:sz w:val="24"/>
        <w:szCs w:val="24"/>
      </w:rPr>
      <w:t xml:space="preserve"> </w:t>
    </w:r>
    <w:r w:rsidRPr="008F4DF4">
      <w:rPr>
        <w:rFonts w:ascii="Arial" w:hAnsi="Arial" w:cs="Arial"/>
        <w:b/>
        <w:smallCaps/>
        <w:sz w:val="24"/>
        <w:szCs w:val="24"/>
      </w:rPr>
      <w:t>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F12CE9"/>
    <w:multiLevelType w:val="hybridMultilevel"/>
    <w:tmpl w:val="6E0A1736"/>
    <w:lvl w:ilvl="0" w:tplc="7ECE42B4">
      <w:start w:val="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8144E7E"/>
    <w:multiLevelType w:val="hybridMultilevel"/>
    <w:tmpl w:val="105270FE"/>
    <w:lvl w:ilvl="0" w:tplc="78CCB6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167E4"/>
    <w:rsid w:val="00020D18"/>
    <w:rsid w:val="000478B8"/>
    <w:rsid w:val="000647BF"/>
    <w:rsid w:val="00097BDE"/>
    <w:rsid w:val="000B51AF"/>
    <w:rsid w:val="000D787D"/>
    <w:rsid w:val="000D7F2D"/>
    <w:rsid w:val="00102E72"/>
    <w:rsid w:val="00146CF6"/>
    <w:rsid w:val="00150183"/>
    <w:rsid w:val="001716F3"/>
    <w:rsid w:val="00183E20"/>
    <w:rsid w:val="001F1D8B"/>
    <w:rsid w:val="00202080"/>
    <w:rsid w:val="00231614"/>
    <w:rsid w:val="00287734"/>
    <w:rsid w:val="00297667"/>
    <w:rsid w:val="002C269F"/>
    <w:rsid w:val="002E383E"/>
    <w:rsid w:val="0033112F"/>
    <w:rsid w:val="0033282F"/>
    <w:rsid w:val="00336222"/>
    <w:rsid w:val="003457AB"/>
    <w:rsid w:val="003468BE"/>
    <w:rsid w:val="0039462F"/>
    <w:rsid w:val="0039577D"/>
    <w:rsid w:val="003A596B"/>
    <w:rsid w:val="00414DD1"/>
    <w:rsid w:val="0041531A"/>
    <w:rsid w:val="00420E96"/>
    <w:rsid w:val="00436105"/>
    <w:rsid w:val="004633C9"/>
    <w:rsid w:val="00486A8A"/>
    <w:rsid w:val="004B612B"/>
    <w:rsid w:val="004C3FFD"/>
    <w:rsid w:val="004F426F"/>
    <w:rsid w:val="00507E61"/>
    <w:rsid w:val="00521672"/>
    <w:rsid w:val="00522F2C"/>
    <w:rsid w:val="00522F6E"/>
    <w:rsid w:val="0055506D"/>
    <w:rsid w:val="005859CF"/>
    <w:rsid w:val="005941F2"/>
    <w:rsid w:val="005B3837"/>
    <w:rsid w:val="005D57A9"/>
    <w:rsid w:val="005E04AA"/>
    <w:rsid w:val="005F50B6"/>
    <w:rsid w:val="00610350"/>
    <w:rsid w:val="0061563C"/>
    <w:rsid w:val="00622B72"/>
    <w:rsid w:val="006508BC"/>
    <w:rsid w:val="006537AD"/>
    <w:rsid w:val="006720BA"/>
    <w:rsid w:val="006935C8"/>
    <w:rsid w:val="00764046"/>
    <w:rsid w:val="00787100"/>
    <w:rsid w:val="007C71D9"/>
    <w:rsid w:val="007F326D"/>
    <w:rsid w:val="00882082"/>
    <w:rsid w:val="0089517F"/>
    <w:rsid w:val="008972E8"/>
    <w:rsid w:val="008B08C1"/>
    <w:rsid w:val="008E056E"/>
    <w:rsid w:val="008E6A79"/>
    <w:rsid w:val="008F09B2"/>
    <w:rsid w:val="008F4832"/>
    <w:rsid w:val="009069E0"/>
    <w:rsid w:val="009436FD"/>
    <w:rsid w:val="0095076A"/>
    <w:rsid w:val="00970F79"/>
    <w:rsid w:val="009760E6"/>
    <w:rsid w:val="009E2A68"/>
    <w:rsid w:val="009E65CF"/>
    <w:rsid w:val="00A23DCB"/>
    <w:rsid w:val="00A27E14"/>
    <w:rsid w:val="00A369E9"/>
    <w:rsid w:val="00A56498"/>
    <w:rsid w:val="00A801E3"/>
    <w:rsid w:val="00A95D38"/>
    <w:rsid w:val="00AA1667"/>
    <w:rsid w:val="00AC7955"/>
    <w:rsid w:val="00AE348F"/>
    <w:rsid w:val="00B13E59"/>
    <w:rsid w:val="00B43671"/>
    <w:rsid w:val="00B76B40"/>
    <w:rsid w:val="00B80A4B"/>
    <w:rsid w:val="00B82865"/>
    <w:rsid w:val="00B87431"/>
    <w:rsid w:val="00B927E9"/>
    <w:rsid w:val="00B97349"/>
    <w:rsid w:val="00BE4C6F"/>
    <w:rsid w:val="00BF328B"/>
    <w:rsid w:val="00BF7AF5"/>
    <w:rsid w:val="00C3692D"/>
    <w:rsid w:val="00C53B31"/>
    <w:rsid w:val="00C805C1"/>
    <w:rsid w:val="00C94E76"/>
    <w:rsid w:val="00CB058C"/>
    <w:rsid w:val="00CB3B99"/>
    <w:rsid w:val="00CB49ED"/>
    <w:rsid w:val="00CC3E99"/>
    <w:rsid w:val="00CE50FE"/>
    <w:rsid w:val="00D204D1"/>
    <w:rsid w:val="00D43EE0"/>
    <w:rsid w:val="00E10CD4"/>
    <w:rsid w:val="00E131FB"/>
    <w:rsid w:val="00E23674"/>
    <w:rsid w:val="00E64D31"/>
    <w:rsid w:val="00E811C1"/>
    <w:rsid w:val="00E87B49"/>
    <w:rsid w:val="00EA14D6"/>
    <w:rsid w:val="00EA6DB9"/>
    <w:rsid w:val="00EB68B0"/>
    <w:rsid w:val="00EF4D59"/>
    <w:rsid w:val="00F11AF9"/>
    <w:rsid w:val="00F246BB"/>
    <w:rsid w:val="00F35EB5"/>
    <w:rsid w:val="00F368BA"/>
    <w:rsid w:val="00F566F5"/>
    <w:rsid w:val="00F616B7"/>
    <w:rsid w:val="00F617EE"/>
    <w:rsid w:val="00F64D83"/>
    <w:rsid w:val="00FD1349"/>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D801"/>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character" w:styleId="Hipervnculo">
    <w:name w:val="Hyperlink"/>
    <w:basedOn w:val="Fuentedeprrafopredeter"/>
    <w:uiPriority w:val="99"/>
    <w:unhideWhenUsed/>
    <w:rsid w:val="002E383E"/>
    <w:rPr>
      <w:color w:val="0000FF" w:themeColor="hyperlink"/>
      <w:u w:val="single"/>
    </w:rPr>
  </w:style>
  <w:style w:type="character" w:styleId="Mencionar">
    <w:name w:val="Mention"/>
    <w:basedOn w:val="Fuentedeprrafopredeter"/>
    <w:uiPriority w:val="99"/>
    <w:semiHidden/>
    <w:unhideWhenUsed/>
    <w:rsid w:val="002E383E"/>
    <w:rPr>
      <w:color w:val="2B579A"/>
      <w:shd w:val="clear" w:color="auto" w:fill="E6E6E6"/>
    </w:rPr>
  </w:style>
  <w:style w:type="paragraph" w:styleId="Textonotapie">
    <w:name w:val="footnote text"/>
    <w:basedOn w:val="Normal"/>
    <w:link w:val="TextonotapieCar"/>
    <w:uiPriority w:val="99"/>
    <w:semiHidden/>
    <w:unhideWhenUsed/>
    <w:rsid w:val="00F616B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F616B7"/>
    <w:rPr>
      <w:sz w:val="20"/>
      <w:szCs w:val="20"/>
      <w:lang w:val="es-MX"/>
    </w:rPr>
  </w:style>
  <w:style w:type="character" w:styleId="Refdenotaalpie">
    <w:name w:val="footnote reference"/>
    <w:basedOn w:val="Fuentedeprrafopredeter"/>
    <w:uiPriority w:val="99"/>
    <w:semiHidden/>
    <w:unhideWhenUsed/>
    <w:rsid w:val="00F616B7"/>
    <w:rPr>
      <w:vertAlign w:val="superscript"/>
    </w:rPr>
  </w:style>
  <w:style w:type="paragraph" w:styleId="Textocomentario">
    <w:name w:val="annotation text"/>
    <w:basedOn w:val="Normal"/>
    <w:link w:val="TextocomentarioCar"/>
    <w:uiPriority w:val="99"/>
    <w:unhideWhenUsed/>
    <w:rsid w:val="008F09B2"/>
    <w:pPr>
      <w:spacing w:line="240" w:lineRule="auto"/>
    </w:pPr>
    <w:rPr>
      <w:sz w:val="20"/>
      <w:szCs w:val="20"/>
    </w:rPr>
  </w:style>
  <w:style w:type="character" w:customStyle="1" w:styleId="TextocomentarioCar">
    <w:name w:val="Texto comentario Car"/>
    <w:basedOn w:val="Fuentedeprrafopredeter"/>
    <w:link w:val="Textocomentario"/>
    <w:uiPriority w:val="99"/>
    <w:rsid w:val="008F09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f.gob.mx/nota_detalle.php?codigo=5476073&amp;fecha=13/03/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icio.inai.org.mx/SitePages/ppfm.aspx"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2FB278A6-C6BB-428C-A5AF-BBB5E318661E}"/>
</file>

<file path=customXml/itemProps2.xml><?xml version="1.0" encoding="utf-8"?>
<ds:datastoreItem xmlns:ds="http://schemas.openxmlformats.org/officeDocument/2006/customXml" ds:itemID="{3BC6AFED-141A-4147-BA79-15E31349FD93}"/>
</file>

<file path=customXml/itemProps3.xml><?xml version="1.0" encoding="utf-8"?>
<ds:datastoreItem xmlns:ds="http://schemas.openxmlformats.org/officeDocument/2006/customXml" ds:itemID="{F207281E-6440-4040-9136-3E3A753D2F0D}"/>
</file>

<file path=customXml/itemProps4.xml><?xml version="1.0" encoding="utf-8"?>
<ds:datastoreItem xmlns:ds="http://schemas.openxmlformats.org/officeDocument/2006/customXml" ds:itemID="{7F5F22EB-9B45-4938-ACB2-0CAC34EB3630}"/>
</file>

<file path=docProps/app.xml><?xml version="1.0" encoding="utf-8"?>
<Properties xmlns="http://schemas.openxmlformats.org/officeDocument/2006/extended-properties" xmlns:vt="http://schemas.openxmlformats.org/officeDocument/2006/docPropsVTypes">
  <Template>Normal</Template>
  <TotalTime>614</TotalTime>
  <Pages>8</Pages>
  <Words>2541</Words>
  <Characters>13976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42</cp:revision>
  <cp:lastPrinted>2018-05-10T00:31:00Z</cp:lastPrinted>
  <dcterms:created xsi:type="dcterms:W3CDTF">2016-10-26T15:27:00Z</dcterms:created>
  <dcterms:modified xsi:type="dcterms:W3CDTF">2018-07-04T15:23:00Z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