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31" w:rsidRDefault="00754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931" w:rsidRDefault="00E66DD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Procedimiento para las conclusiones:</w:t>
      </w:r>
    </w:p>
    <w:p w:rsidR="00754931" w:rsidRDefault="007549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4931" w:rsidRDefault="00E66D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se tenga la información de todos los países, cada uno de ellos deberá emitir sus propias conclusiones y proponer una conclusión general para el Grupo de Jurisprudencia y Criterios Administrativos.</w:t>
      </w:r>
    </w:p>
    <w:p w:rsidR="00754931" w:rsidRDefault="00754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931" w:rsidRDefault="00E66D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INAI, como moderador del Debate, elaborará un análisis de todas las propuestas y emitirá un criterio único que enviará a consideración de los países miembros para reflejar la posición que tiene el grupo en el tema. </w:t>
      </w:r>
    </w:p>
    <w:p w:rsidR="00754931" w:rsidRDefault="00754931">
      <w:pPr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is2"/>
        <w:tblW w:w="5005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359"/>
        <w:gridCol w:w="11045"/>
      </w:tblGrid>
      <w:tr w:rsidR="00754931" w:rsidTr="0075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754931" w:rsidRDefault="00E66DD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Cuando una persona jurídica de derec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ho privado es sujeto obligado de la Ley de Transparencia y Acceso a Información</w:t>
            </w:r>
          </w:p>
        </w:tc>
      </w:tr>
      <w:tr w:rsidR="00754931" w:rsidTr="0075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4931" w:rsidRDefault="00E66DD3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4931" w:rsidRDefault="00E6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MX"/>
              </w:rPr>
              <w:t>Brasil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MX"/>
              </w:rPr>
              <w:t xml:space="preserve">Se incluye entre los sujetos obligados, además de las entidades públicas de todo nivel de gobierno, a las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>entidades privadas sin fines de lucros que reciban, para la realización de acciones de interés público, recursos públicos directamente del presupuesto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 estatal o por medio de subvenciones sociales, contractos de gestión, convenios, alianzas de cooperación, acuerdos y otros instrumentos de colaboración firmados con el Estado.</w:t>
            </w:r>
          </w:p>
          <w:p w:rsidR="00754931" w:rsidRDefault="007549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</w:p>
          <w:p w:rsidR="00754931" w:rsidRDefault="00E6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>En Brasil, las entidades públicas pueden celebrar acuerdos de cooperación con 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>ntidades privadas sin fines de lucro (organizaciones sociales) para la ejecución y la promoción de actividades de interés público destinadas a la enseñanza, a la cultura, a la salud, a las pesquisas científicas, al desarrollo tecnológico y al medio ambient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e. El acuerdo entre el Estado y los particulares son establecidos mediante un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s-MX" w:eastAsia="es-ES"/>
              </w:rPr>
              <w:t>contrato de gestión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 según lo cual las entidades privadas son declaradas de interés social y utilidad pública para todos los efectos legales y pueden recibir recursos directamente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 del presupuesto gubernamental y utilizar a los aparatos públicos necesarios para la consecución de sus objetivos.</w:t>
            </w:r>
          </w:p>
          <w:p w:rsidR="00754931" w:rsidRDefault="007549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</w:p>
          <w:p w:rsidR="00754931" w:rsidRDefault="00E6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La ejecución del contrato de gestión celebrado por la organización social será fiscalizada por el órgano o entidad pública supervisora del área de actuación correspondiente a la actividad promocionada. Los responsables por la fiscalización de la ejecución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>del contrato deben informar al Tribunal de Cuentas de unión sobre cualquier irregularidad o ilegalidad que adviertan. De ahí que la Ley de acceso a la información determina que las entidades privadas sin fines de lucro asociadas al Estado mediante cualquie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r acuerdo legal son sujetos pasibles para el recibimiento de solicitudes de acceso a la información. Estas solicitudes deben ser dirigidas al órgano Estatal asociado a la entidad privada, lo cual repasará a esta la demanda del ciudadano. </w:t>
            </w:r>
          </w:p>
          <w:p w:rsidR="00754931" w:rsidRDefault="007549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:rsidR="00754931" w:rsidRDefault="007549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754931" w:rsidTr="00754931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754931" w:rsidRDefault="00754931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754931" w:rsidRDefault="00E66DD3">
            <w:pPr>
              <w:pStyle w:val="Prrafodelista"/>
              <w:ind w:left="-77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MX"/>
              </w:rPr>
              <w:t>Colombia: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En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Colombia, también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están obligadas las personas naturales, jurídicas o dependencia de persona jurídica que desempeñe función pública o de autoridad pública, respecto de la información directamente relacionada con el desempeño de su función.</w:t>
            </w:r>
          </w:p>
          <w:p w:rsidR="00754931" w:rsidRDefault="00754931">
            <w:pPr>
              <w:pStyle w:val="Prrafodelista"/>
              <w:ind w:left="-77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54931" w:rsidRDefault="00E66DD3">
            <w:pPr>
              <w:pStyle w:val="Prrafodelista"/>
              <w:ind w:left="-77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Por otro lado,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 sujetos obligados, las empresas públicas y las que cuenten con participación estatal, los partidos o movimientos políticos y los grupos significativos de ciudadanos. Adicionalmente, están obligadas las entidades que administren instituciones parafiscal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es, fondos o recursos de naturaleza u origen público y aquellas que reciban o intermedien fondos o beneficios públicos territoriales y nacionales, respecto de aquella información que se produzca en relación con fondos públicos que reciban o intermedien.</w:t>
            </w:r>
          </w:p>
          <w:p w:rsidR="00754931" w:rsidRDefault="00754931">
            <w:pPr>
              <w:pStyle w:val="Prrafodelista"/>
              <w:ind w:left="-77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54931" w:rsidRDefault="00E66DD3">
            <w:pPr>
              <w:pStyle w:val="Prrafodelista"/>
              <w:ind w:left="-77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s-MX"/>
              </w:rPr>
              <w:t>A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s-MX"/>
              </w:rPr>
              <w:t xml:space="preserve">simismo, llama la atención que en Colombia se ha previsto que el sector privado deba trasparentar información a través de la rendición de cuentas. Ello permitiría conocer cómo es el comportamiento de la organización frente a sus grupos de interés, si está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s-MX"/>
              </w:rPr>
              <w:t xml:space="preserve">tomando las acciones necesarias, para mitigar prácticas corruptas como lo son el soborno, la financiación de grupos al margen de la Ley, </w:t>
            </w:r>
            <w:r>
              <w:rPr>
                <w:rFonts w:ascii="Arial" w:hAnsi="Arial" w:cs="Arial"/>
                <w:sz w:val="20"/>
                <w:szCs w:val="20"/>
              </w:rPr>
              <w:t xml:space="preserve">la regulación de dineros provenientes de actividades ilegales, acciones que no vayan en contra del medio ambiente o la </w:t>
            </w:r>
            <w:r>
              <w:rPr>
                <w:rFonts w:ascii="Arial" w:hAnsi="Arial" w:cs="Arial"/>
                <w:sz w:val="20"/>
                <w:szCs w:val="20"/>
              </w:rPr>
              <w:t xml:space="preserve">violación de derechos humanos.  </w:t>
            </w:r>
          </w:p>
          <w:p w:rsidR="00754931" w:rsidRDefault="00754931">
            <w:pPr>
              <w:pStyle w:val="Prrafodelista"/>
              <w:ind w:left="-77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  <w:tr w:rsidR="00754931" w:rsidTr="0075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4931" w:rsidRDefault="00754931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4931" w:rsidRDefault="00E66DD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MX"/>
              </w:rPr>
              <w:t>México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MX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En México se ha precisado la distinción entre las personas físicas y jurídicas que realizan actos de autoridad y que ejercen recursos públicos:</w:t>
            </w:r>
          </w:p>
          <w:p w:rsidR="00754931" w:rsidRDefault="00E66DD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Ejemplos de personas que realizan actos de autoridad: </w:t>
            </w:r>
          </w:p>
          <w:p w:rsidR="00754931" w:rsidRDefault="00E66DD3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Notarios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Públicos.</w:t>
            </w:r>
          </w:p>
          <w:p w:rsidR="00754931" w:rsidRDefault="00E66DD3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Corredurías públicas.</w:t>
            </w:r>
          </w:p>
          <w:p w:rsidR="00754931" w:rsidRDefault="00E66DD3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Servicios públicos que son concesionados por el ejecutivo local.</w:t>
            </w:r>
          </w:p>
          <w:p w:rsidR="00754931" w:rsidRDefault="00E66DD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Ejemplos de personas que ejercen recursos públicos:</w:t>
            </w:r>
          </w:p>
          <w:p w:rsidR="00754931" w:rsidRDefault="00E66DD3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Universidades Públicas</w:t>
            </w:r>
          </w:p>
          <w:p w:rsidR="00754931" w:rsidRDefault="00E66DD3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Beneficiarios de programas sociales.</w:t>
            </w:r>
          </w:p>
          <w:p w:rsidR="00754931" w:rsidRDefault="00754931">
            <w:pPr>
              <w:pStyle w:val="Prrafodelista"/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  <w:p w:rsidR="00754931" w:rsidRDefault="00E6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En México, corresponde a los Organismos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garantes determinar los casos en que las personas físicas o jurídicas que reciban y ejerzan recursos públicos o realicen actos de autoridad, deben cumplir con las obligaciones de transparencia y acceso a la información, ya sea directamente o a través de lo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 sujetos obligados que les asignen dichos recursos o, conforme a los términos de las disposiciones aplicables a los actos de autoridad que realicen.</w:t>
            </w:r>
          </w:p>
          <w:p w:rsidR="00754931" w:rsidRDefault="00E66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La Dirección General de Enlace con Autoridades Laborales, Sindicatos, Universidades, Personas Físicas y Mo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rales es la encargada de elaborar un dictamen en el que se toma en cuenta el nivel de financiamiento público recibido, si realiza una función gubernamental, nivel de regulación e involucramiento gubernamental, participación del gobierno en la creación, a f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in de determinar los supuestos en los que las personas físicas o jurídicas que reciban y ejerzan recursos públicos o realicen actos de autoridad,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MX" w:eastAsia="es-ES"/>
              </w:rPr>
              <w:t>deberán cumplir con las obligaciones de transparencia y acceso a la información a través de los sujetos obliga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MX" w:eastAsia="es-ES"/>
              </w:rPr>
              <w:t xml:space="preserve">dos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que les otorgan los recursos o los facultan para realizar los actos de autoridad.</w:t>
            </w:r>
          </w:p>
        </w:tc>
      </w:tr>
      <w:tr w:rsidR="00754931" w:rsidTr="00754931">
        <w:trPr>
          <w:trHeight w:val="3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754931" w:rsidRDefault="00754931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754931" w:rsidRDefault="00E66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MX"/>
              </w:rPr>
              <w:t>Panamá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 acuerdo con la ley de la materia, entre los sujetos obligados se incluye a todas las empresas de capital mixto, las cooperativas, las fundaciones, los patron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atos y los organismos no gubernamentales que hayan recibido o reciban fondos, capital o bienes del Estado. </w:t>
            </w:r>
          </w:p>
          <w:p w:rsidR="00754931" w:rsidRDefault="00E66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En Panamá existen empresas de economía mixta que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mantienen participación accionaria proveniente del Estado y que ofrecen servicios públicos tales co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mo agua, luz, transporte, carreteras y telefonía y conforme lo prevé su legislación de la materia,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estas empresas están obligadas a proporcionar la información que les sea solicitada por los usuarios del servicio, respecto de éste.</w:t>
            </w:r>
          </w:p>
          <w:p w:rsidR="00754931" w:rsidRDefault="00E66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Han considerado que 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utoridad de Transparencia y Acceso a la Información (ANTAI), evalúa la posibilidad de introducir nuevos parámetros y ampliar otros supuestos de sujetos obligados en la Ley de Transparencia, para fortalecer la publicidad de la información, garantizar el acc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eso y robustecer la rendición de cuentas por parte de las instituciones públicas.</w:t>
            </w:r>
          </w:p>
        </w:tc>
      </w:tr>
      <w:tr w:rsidR="00754931" w:rsidTr="0075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754931" w:rsidRDefault="00E66DD3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vAlign w:val="center"/>
          </w:tcPr>
          <w:p w:rsidR="00754931" w:rsidRDefault="007549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754931" w:rsidTr="00754931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754931" w:rsidRDefault="00E66DD3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Criterio Propuesto</w:t>
            </w:r>
          </w:p>
          <w:p w:rsidR="00754931" w:rsidRDefault="00E66DD3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(Conclusión General para el Grupo)</w:t>
            </w:r>
          </w:p>
        </w:tc>
        <w:tc>
          <w:tcPr>
            <w:tcW w:w="3834" w:type="pct"/>
            <w:vAlign w:val="center"/>
          </w:tcPr>
          <w:p w:rsidR="00754931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Se plantea como criterio la ampliación de los sujetos obligados de manera tal que se incluya: </w:t>
            </w:r>
          </w:p>
          <w:p w:rsidR="00754931" w:rsidRDefault="007549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754931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-Todas las dependencias públicas, de todos los poderes del Estado y de todo nivel de gobierno. </w:t>
            </w:r>
          </w:p>
          <w:p w:rsidR="00754931" w:rsidRPr="006E2B88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- </w:t>
            </w:r>
            <w:r w:rsidRPr="006E2B88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  <w:t xml:space="preserve">Las empresas públicas y aquellas que tengan participación del Estado. </w:t>
            </w:r>
          </w:p>
          <w:p w:rsidR="00754931" w:rsidRPr="006E2B88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</w:pPr>
            <w:r w:rsidRPr="006E2B88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  <w:t>- Las empresas privadas (personas jurídicas o naturales), que presten servicios públic</w:t>
            </w:r>
            <w:r w:rsidRPr="006E2B88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  <w:t>os o que realicen actos de autoridad, respecto a los actos que realiza y a los servicios públicos prestados.</w:t>
            </w:r>
          </w:p>
          <w:p w:rsidR="00754931" w:rsidRPr="006E2B88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</w:pPr>
            <w:r w:rsidRPr="006E2B88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  <w:t xml:space="preserve">- Las empresas privadas (personas jurídicas o naturales) que administren o manejen recursos del Estado, respecto de los recursos asignados. </w:t>
            </w:r>
          </w:p>
          <w:p w:rsidR="00754931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E2B88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  <w:t xml:space="preserve">- Las </w:t>
            </w:r>
            <w:r w:rsidRPr="006E2B88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</w:rPr>
              <w:t>Asociaciones Públicas y Privadas (APP) y las empresas consultoras.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754931" w:rsidRDefault="007549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754931" w:rsidRDefault="00E66D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Asimismo, </w:t>
            </w:r>
            <w:r w:rsidRPr="006E2B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  <w:t>se debe fortalecer la cultura de la trasparencia, garantizar el acceso y la rendición de cuentas por parte de las instituciones públicas, pero sobre todo de las entidades privad</w:t>
            </w:r>
            <w:r w:rsidRPr="006E2B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  <w:t>as obligadas, para recalcar las buenas prácticas en la lucha contra la corrupción y el lavado de activos.</w:t>
            </w:r>
            <w:bookmarkStart w:id="0" w:name="_GoBack"/>
            <w:bookmarkEnd w:id="0"/>
          </w:p>
          <w:p w:rsidR="00754931" w:rsidRDefault="007549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754931" w:rsidRDefault="0075493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5493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D3" w:rsidRDefault="00E66DD3">
      <w:pPr>
        <w:spacing w:after="0" w:line="240" w:lineRule="auto"/>
      </w:pPr>
      <w:r>
        <w:separator/>
      </w:r>
    </w:p>
  </w:endnote>
  <w:endnote w:type="continuationSeparator" w:id="0">
    <w:p w:rsidR="00E66DD3" w:rsidRDefault="00E6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4931" w:rsidRDefault="00E66DD3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Página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54931" w:rsidRDefault="00754931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D3" w:rsidRDefault="00E66DD3">
      <w:pPr>
        <w:spacing w:after="0" w:line="240" w:lineRule="auto"/>
      </w:pPr>
      <w:r>
        <w:separator/>
      </w:r>
    </w:p>
  </w:footnote>
  <w:footnote w:type="continuationSeparator" w:id="0">
    <w:p w:rsidR="00E66DD3" w:rsidRDefault="00E6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31" w:rsidRDefault="00E66DD3">
    <w:pPr>
      <w:spacing w:after="0" w:line="240" w:lineRule="auto"/>
      <w:jc w:val="right"/>
      <w:rPr>
        <w:rFonts w:ascii="Arial" w:hAnsi="Arial" w:cs="Arial"/>
        <w:b/>
        <w:smallCaps/>
      </w:rPr>
    </w:pPr>
    <w:r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mallCaps/>
      </w:rPr>
      <w:t>Grupo de Jurisprudencia y Criterios Administrativos</w:t>
    </w:r>
  </w:p>
  <w:p w:rsidR="00754931" w:rsidRDefault="00E66DD3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 xml:space="preserve">Debate sobre </w:t>
    </w:r>
    <w:r>
      <w:rPr>
        <w:rFonts w:ascii="Arial" w:hAnsi="Arial" w:cs="Arial"/>
        <w:smallCaps/>
        <w:sz w:val="24"/>
        <w:szCs w:val="24"/>
      </w:rPr>
      <w:t>posicionamientos</w:t>
    </w:r>
  </w:p>
  <w:p w:rsidR="00754931" w:rsidRDefault="00754931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754931" w:rsidRDefault="00E66DD3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Séptimo Debate Temático</w:t>
    </w:r>
  </w:p>
  <w:p w:rsidR="00754931" w:rsidRDefault="00754931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6BE"/>
    <w:multiLevelType w:val="hybridMultilevel"/>
    <w:tmpl w:val="FAF29A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8B1"/>
    <w:multiLevelType w:val="hybridMultilevel"/>
    <w:tmpl w:val="D90AE6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A28"/>
    <w:multiLevelType w:val="hybridMultilevel"/>
    <w:tmpl w:val="B3149B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12CE9"/>
    <w:multiLevelType w:val="hybridMultilevel"/>
    <w:tmpl w:val="6E0A1736"/>
    <w:lvl w:ilvl="0" w:tplc="7ECE42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1"/>
    <w:rsid w:val="006E2B88"/>
    <w:rsid w:val="00754931"/>
    <w:rsid w:val="00E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F4A4A-8170-4164-B3F7-B63B2B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BC436B01-AC18-4D7E-A32F-BD254345DA6D}"/>
</file>

<file path=customXml/itemProps2.xml><?xml version="1.0" encoding="utf-8"?>
<ds:datastoreItem xmlns:ds="http://schemas.openxmlformats.org/officeDocument/2006/customXml" ds:itemID="{9229722A-4540-4B0E-9D48-143B8A4F727E}"/>
</file>

<file path=customXml/itemProps3.xml><?xml version="1.0" encoding="utf-8"?>
<ds:datastoreItem xmlns:ds="http://schemas.openxmlformats.org/officeDocument/2006/customXml" ds:itemID="{8FA1442B-7CE4-44FB-B910-75B15C1DF9BA}"/>
</file>

<file path=customXml/itemProps4.xml><?xml version="1.0" encoding="utf-8"?>
<ds:datastoreItem xmlns:ds="http://schemas.openxmlformats.org/officeDocument/2006/customXml" ds:itemID="{D7C3C556-2D5C-4C1F-B525-F1B8E0A78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5</cp:revision>
  <cp:lastPrinted>2015-11-23T17:16:00Z</cp:lastPrinted>
  <dcterms:created xsi:type="dcterms:W3CDTF">2018-06-01T22:12:00Z</dcterms:created>
  <dcterms:modified xsi:type="dcterms:W3CDTF">2018-06-12T20:33:00Z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