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5F47" w14:textId="77777777" w:rsidR="004B612B" w:rsidRPr="008F4832" w:rsidRDefault="004B612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B309B3" w14:textId="77777777" w:rsidR="00E131FB" w:rsidRPr="009E2A68" w:rsidRDefault="00E131FB" w:rsidP="008F483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mallCaps/>
          <w:sz w:val="24"/>
          <w:szCs w:val="24"/>
        </w:rPr>
      </w:pPr>
      <w:r w:rsidRPr="009E2A68">
        <w:rPr>
          <w:rFonts w:ascii="Arial" w:hAnsi="Arial" w:cs="Arial"/>
          <w:b/>
          <w:smallCaps/>
          <w:sz w:val="24"/>
          <w:szCs w:val="24"/>
        </w:rPr>
        <w:t>Procedimiento para las conclusiones</w:t>
      </w:r>
      <w:r w:rsidR="0033282F" w:rsidRPr="009E2A68">
        <w:rPr>
          <w:rFonts w:ascii="Arial" w:hAnsi="Arial" w:cs="Arial"/>
          <w:b/>
          <w:smallCaps/>
          <w:sz w:val="24"/>
          <w:szCs w:val="24"/>
        </w:rPr>
        <w:t>:</w:t>
      </w:r>
    </w:p>
    <w:p w14:paraId="2387E8E1" w14:textId="77777777" w:rsidR="00882082" w:rsidRPr="008F4832" w:rsidRDefault="00882082" w:rsidP="008F483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FDB2D7" w14:textId="77777777"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832">
        <w:rPr>
          <w:rFonts w:ascii="Arial" w:hAnsi="Arial" w:cs="Arial"/>
          <w:sz w:val="24"/>
          <w:szCs w:val="24"/>
        </w:rPr>
        <w:t xml:space="preserve">Una vez que se tenga la información </w:t>
      </w:r>
      <w:r w:rsidR="00F617EE" w:rsidRPr="008F4832">
        <w:rPr>
          <w:rFonts w:ascii="Arial" w:hAnsi="Arial" w:cs="Arial"/>
          <w:sz w:val="24"/>
          <w:szCs w:val="24"/>
        </w:rPr>
        <w:t>de todos los países</w:t>
      </w:r>
      <w:r w:rsidR="00097BDE" w:rsidRPr="008F4832">
        <w:rPr>
          <w:rFonts w:ascii="Arial" w:hAnsi="Arial" w:cs="Arial"/>
          <w:sz w:val="24"/>
          <w:szCs w:val="24"/>
        </w:rPr>
        <w:t xml:space="preserve">, </w:t>
      </w:r>
      <w:r w:rsidRPr="008F4832">
        <w:rPr>
          <w:rFonts w:ascii="Arial" w:hAnsi="Arial" w:cs="Arial"/>
          <w:sz w:val="24"/>
          <w:szCs w:val="24"/>
        </w:rPr>
        <w:t xml:space="preserve">cada </w:t>
      </w:r>
      <w:r w:rsidR="00097BDE" w:rsidRPr="008F4832">
        <w:rPr>
          <w:rFonts w:ascii="Arial" w:hAnsi="Arial" w:cs="Arial"/>
          <w:sz w:val="24"/>
          <w:szCs w:val="24"/>
        </w:rPr>
        <w:t>uno de ellos</w:t>
      </w:r>
      <w:r w:rsidRPr="008F4832">
        <w:rPr>
          <w:rFonts w:ascii="Arial" w:hAnsi="Arial" w:cs="Arial"/>
          <w:sz w:val="24"/>
          <w:szCs w:val="24"/>
        </w:rPr>
        <w:t xml:space="preserve"> deberá emitir sus propias conclusiones y proponer una conclusión general para el Grupo</w:t>
      </w:r>
      <w:r w:rsidR="00F617EE" w:rsidRPr="008F4832">
        <w:rPr>
          <w:rFonts w:ascii="Arial" w:hAnsi="Arial" w:cs="Arial"/>
          <w:sz w:val="24"/>
          <w:szCs w:val="24"/>
        </w:rPr>
        <w:t xml:space="preserve"> de Jurisprudencia </w:t>
      </w:r>
      <w:r w:rsidR="0055506D">
        <w:rPr>
          <w:rFonts w:ascii="Arial" w:hAnsi="Arial" w:cs="Arial"/>
          <w:sz w:val="24"/>
          <w:szCs w:val="24"/>
        </w:rPr>
        <w:t>y Criterios Administrativos</w:t>
      </w:r>
      <w:r w:rsidRPr="008F4832">
        <w:rPr>
          <w:rFonts w:ascii="Arial" w:hAnsi="Arial" w:cs="Arial"/>
          <w:sz w:val="24"/>
          <w:szCs w:val="24"/>
        </w:rPr>
        <w:t>.</w:t>
      </w:r>
    </w:p>
    <w:p w14:paraId="32C2B74D" w14:textId="77777777"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FECC9A" w14:textId="77777777" w:rsidR="00882082" w:rsidRPr="008F4832" w:rsidRDefault="0055506D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97BDE" w:rsidRPr="008F4832">
        <w:rPr>
          <w:rFonts w:ascii="Arial" w:hAnsi="Arial" w:cs="Arial"/>
          <w:sz w:val="24"/>
          <w:szCs w:val="24"/>
        </w:rPr>
        <w:t>l INAI</w:t>
      </w:r>
      <w:r w:rsidR="00882082" w:rsidRPr="008F48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como moderador del Debate,</w:t>
      </w:r>
      <w:r w:rsidR="00882082" w:rsidRPr="008F4832">
        <w:rPr>
          <w:rFonts w:ascii="Arial" w:hAnsi="Arial" w:cs="Arial"/>
          <w:sz w:val="24"/>
          <w:szCs w:val="24"/>
        </w:rPr>
        <w:t xml:space="preserve"> elaborará un análisis de todas las propuestas y emitirá un criterio </w:t>
      </w:r>
      <w:r w:rsidR="00F617EE" w:rsidRPr="008F4832">
        <w:rPr>
          <w:rFonts w:ascii="Arial" w:hAnsi="Arial" w:cs="Arial"/>
          <w:sz w:val="24"/>
          <w:szCs w:val="24"/>
        </w:rPr>
        <w:t xml:space="preserve">único </w:t>
      </w:r>
      <w:r w:rsidR="00882082" w:rsidRPr="008F4832">
        <w:rPr>
          <w:rFonts w:ascii="Arial" w:hAnsi="Arial" w:cs="Arial"/>
          <w:sz w:val="24"/>
          <w:szCs w:val="24"/>
        </w:rPr>
        <w:t xml:space="preserve">que enviará </w:t>
      </w:r>
      <w:r>
        <w:rPr>
          <w:rFonts w:ascii="Arial" w:hAnsi="Arial" w:cs="Arial"/>
          <w:sz w:val="24"/>
          <w:szCs w:val="24"/>
        </w:rPr>
        <w:t>a consideración de</w:t>
      </w:r>
      <w:r w:rsidR="00882082" w:rsidRPr="008F4832">
        <w:rPr>
          <w:rFonts w:ascii="Arial" w:hAnsi="Arial" w:cs="Arial"/>
          <w:sz w:val="24"/>
          <w:szCs w:val="24"/>
        </w:rPr>
        <w:t xml:space="preserve"> los países miembros para </w:t>
      </w:r>
      <w:r w:rsidR="005E04AA" w:rsidRPr="008F4832">
        <w:rPr>
          <w:rFonts w:ascii="Arial" w:hAnsi="Arial" w:cs="Arial"/>
          <w:sz w:val="24"/>
          <w:szCs w:val="24"/>
        </w:rPr>
        <w:t xml:space="preserve">reflejar la posición que tiene el grupo en </w:t>
      </w:r>
      <w:r>
        <w:rPr>
          <w:rFonts w:ascii="Arial" w:hAnsi="Arial" w:cs="Arial"/>
          <w:sz w:val="24"/>
          <w:szCs w:val="24"/>
        </w:rPr>
        <w:t>el</w:t>
      </w:r>
      <w:r w:rsidR="005E04AA" w:rsidRPr="008F4832">
        <w:rPr>
          <w:rFonts w:ascii="Arial" w:hAnsi="Arial" w:cs="Arial"/>
          <w:sz w:val="24"/>
          <w:szCs w:val="24"/>
        </w:rPr>
        <w:t xml:space="preserve"> tema</w:t>
      </w:r>
      <w:r w:rsidR="00882082" w:rsidRPr="008F4832">
        <w:rPr>
          <w:rFonts w:ascii="Arial" w:hAnsi="Arial" w:cs="Arial"/>
          <w:sz w:val="24"/>
          <w:szCs w:val="24"/>
        </w:rPr>
        <w:t xml:space="preserve">. </w:t>
      </w:r>
    </w:p>
    <w:p w14:paraId="33FC22A9" w14:textId="77777777" w:rsidR="0033282F" w:rsidRPr="006720BA" w:rsidRDefault="0033282F" w:rsidP="006720BA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ListaClara-nfase2"/>
        <w:tblW w:w="5005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359"/>
        <w:gridCol w:w="11045"/>
      </w:tblGrid>
      <w:tr w:rsidR="00882082" w:rsidRPr="008F4832" w14:paraId="773CD442" w14:textId="77777777" w:rsidTr="00DD3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365F91" w:themeFill="accent1" w:themeFillShade="BF"/>
            <w:vAlign w:val="center"/>
          </w:tcPr>
          <w:p w14:paraId="6ACA8AD4" w14:textId="77777777" w:rsidR="00882082" w:rsidRPr="00E10CD4" w:rsidRDefault="005449D0" w:rsidP="00E10CD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C</w:t>
            </w:r>
            <w:r w:rsidRPr="004C3FFD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uando una persona jurídica de derecho privado es sujeto obligado de la Ley de Trans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parencia y Acceso a Información</w:t>
            </w:r>
          </w:p>
        </w:tc>
      </w:tr>
      <w:tr w:rsidR="00586DFE" w:rsidRPr="008F4832" w14:paraId="0C4DF020" w14:textId="77777777" w:rsidTr="0058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A7E1E2" w14:textId="77777777" w:rsidR="00586DFE" w:rsidRPr="009E2A68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Elementos a destacar sobre el posicionamiento de otros países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918953" w14:textId="77777777" w:rsidR="00586DFE" w:rsidRPr="002963F9" w:rsidRDefault="00586DFE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B4340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Brasil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D42DD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----</w:t>
            </w:r>
          </w:p>
        </w:tc>
      </w:tr>
      <w:tr w:rsidR="00586DFE" w:rsidRPr="008F4832" w14:paraId="17FC220B" w14:textId="77777777" w:rsidTr="00DD3C49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14:paraId="2501AD3B" w14:textId="77777777" w:rsidR="00586DFE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14:paraId="4C5F6D5A" w14:textId="32385945" w:rsidR="00CE69D7" w:rsidRDefault="00586DFE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Colombia:</w:t>
            </w:r>
            <w:r w:rsidR="00F81EF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Hay similitud entre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los 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sujetos obligados en la legislación de acceso a información pública de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Colombia </w:t>
            </w:r>
            <w:r w:rsidR="0068482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y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Brasil. 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Tanto en Brasil como en Colombia se entiende que la obligación de transparencia se refiere a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información relacionada con 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la función o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los 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servicios públicos y no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con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la naturaleza pública o privada del </w:t>
            </w:r>
            <w:r w:rsid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sujeto</w:t>
            </w:r>
            <w:r w:rsidR="00CE69D7" w:rsidRPr="00CE69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</w:p>
          <w:p w14:paraId="7933ED45" w14:textId="712E2183" w:rsidR="00586DFE" w:rsidRDefault="00CE69D7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Destaco el potencial de intercambiar las experiencias sobre transparencia de datos de Colombia en cuanto a sindicatos y otras instituciones privadas con fines políticos con potencial impacto positivo para la mejoría de la democracia de los países</w:t>
            </w:r>
            <w:r w:rsid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, </w:t>
            </w:r>
            <w:r w:rsidR="008A58C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incluso</w:t>
            </w:r>
            <w:r w:rsid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="008A58C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sobre</w:t>
            </w:r>
            <w:r w:rsid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las </w:t>
            </w:r>
            <w:r w:rsidR="00631AC6" w:rsidRP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contribuciones sindica</w:t>
            </w:r>
            <w:r w:rsid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le</w:t>
            </w:r>
            <w:r w:rsidR="00631AC6" w:rsidRP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s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.</w:t>
            </w:r>
            <w:r w:rsidR="00237D1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Este debate es contemporáneo </w:t>
            </w:r>
            <w:r w:rsidR="00237D1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en Brasil 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y tiene por objeto desarrollar, por ejemplo, una mayor transparencia de la gestión de los recursos </w:t>
            </w:r>
            <w:r w:rsidR="005E7239"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públicos donados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="00631AC6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esas </w:t>
            </w:r>
            <w:r w:rsidR="008A58C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instituciones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</w:p>
          <w:p w14:paraId="03F2E306" w14:textId="022219BF" w:rsidR="00C403B6" w:rsidRPr="00C403B6" w:rsidRDefault="00C403B6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Así como en Colombia, se identifica </w:t>
            </w:r>
            <w:r w:rsidR="00D03CF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también </w:t>
            </w: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el potencial de desarrollar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cambio</w:t>
            </w: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cultura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</w:t>
            </w: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para</w:t>
            </w: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una perspectiva de 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buenas prácticas empresariales</w:t>
            </w:r>
            <w:r w:rsidRPr="00C403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que propenden por la trasparencia, integridad y de la corrupción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</w:p>
        </w:tc>
      </w:tr>
      <w:tr w:rsidR="00586DFE" w:rsidRPr="008F4832" w14:paraId="52BD7DEC" w14:textId="77777777" w:rsidTr="0058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B2B0B3" w14:textId="77777777" w:rsidR="00586DFE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319F69" w14:textId="6D738419" w:rsidR="00586DFE" w:rsidRPr="002963F9" w:rsidRDefault="00586DFE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México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4B2484" w:rsidRPr="00237D1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Destaco la legislación mexicana que, así como la legislación de Colombia, obligan los partidos políticos, fideicomisos y fondos públicos, así como de cualquier persona física, moral o sindicato que reciba y ejerza recursos públicos a prestar cuentas por medio de la transparencia de las informaciones públicas.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237D1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reo que es posible desarrollar más publicaciones y 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lastRenderedPageBreak/>
              <w:t>estudios sobre la temática de transparencia de las informaciones de los recursos públicos destinados a las actividades políticas</w:t>
            </w:r>
            <w:r w:rsidR="00237D1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sindicales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237D1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</w:t>
            </w:r>
            <w:r w:rsidR="004B248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los países.</w:t>
            </w:r>
          </w:p>
        </w:tc>
      </w:tr>
      <w:tr w:rsidR="00586DFE" w:rsidRPr="008F4832" w14:paraId="630F4C7C" w14:textId="77777777" w:rsidTr="00DD3C49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14:paraId="4A94AD76" w14:textId="77777777" w:rsidR="00586DFE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14:paraId="44CF62D5" w14:textId="25D81918" w:rsidR="00586DFE" w:rsidRPr="002963F9" w:rsidRDefault="00586DFE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Panamá</w:t>
            </w:r>
            <w:r w:rsidRPr="00B434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Cuanto a los sujetos, en Panamá también son obligadas por</w:t>
            </w:r>
            <w:r w:rsidR="00A47DE5" w:rsidRP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la legislación de acceso a información pública</w:t>
            </w:r>
            <w:r w:rsid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del país </w:t>
            </w:r>
            <w:r w:rsidR="00A47DE5" w:rsidRP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las empresas de capital mixto, las cooperativas, las fundaciones, los patronatos y los organismos no gubernamentales que hayan recibido o reciban fondos, capital o bienes del Estado.</w:t>
            </w:r>
            <w:r w:rsid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Entonces, </w:t>
            </w:r>
            <w:r w:rsidR="00A47DE5" w:rsidRP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todas estas entidades que reciben recursos públicos</w:t>
            </w:r>
            <w:r w:rsid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. </w:t>
            </w:r>
            <w:r w:rsidR="005E723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Los sectores económicos de las</w:t>
            </w:r>
            <w:r w:rsidR="00A47DE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empresas de </w:t>
            </w:r>
            <w:r w:rsidR="00F90D2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capital mi</w:t>
            </w:r>
            <w:r w:rsidR="005E723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x</w:t>
            </w:r>
            <w:r w:rsidR="00F90D2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to</w:t>
            </w:r>
            <w:r w:rsidR="005E723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que prestan servicios públicos son similares a los sectores donde ocurren las concesiones y permisiones, </w:t>
            </w:r>
            <w:r w:rsidR="005E7239" w:rsidRPr="005E723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por ejemplo,</w:t>
            </w:r>
            <w:r w:rsidR="005E723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los sectores relacionados con el </w:t>
            </w:r>
            <w:r w:rsidR="005E7239"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agua, la luz, el transporte, las carreteras y la telefonía.</w:t>
            </w:r>
          </w:p>
        </w:tc>
      </w:tr>
      <w:tr w:rsidR="00586DFE" w:rsidRPr="008F4832" w14:paraId="2A7F8501" w14:textId="77777777" w:rsidTr="0058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F61958" w14:textId="77777777" w:rsidR="00586DFE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34B1D3" w14:textId="10A80CDE" w:rsidR="009850F1" w:rsidRDefault="00586DFE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5449D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Perú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Así como en Brasil, son obligadas a prestar transparencia a las informaciones públicas las </w:t>
            </w:r>
            <w:r w:rsidR="009850F1"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personas jurídicas bajo el régimen privado que prestan servicios públicos o ejercen función administrativa, en virtud de concesión, delegación o autorización del Estado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(en Brasil esas 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obliga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ciones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no 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son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provenientes d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le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y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a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ceso 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la 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informa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ción</w:t>
            </w:r>
            <w:r w:rsidR="00F846FC" w:rsidRP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 más de otros instrumentos jurídicos</w:t>
            </w:r>
            <w:r w:rsidR="00F846FC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)</w:t>
            </w:r>
            <w:r w:rsidR="009850F1"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  <w:r w:rsid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8E7729"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Es,</w:t>
            </w:r>
            <w:r w:rsidR="009850F1"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por lo tanto, asunto de evidente convergencia </w:t>
            </w:r>
            <w:r w:rsid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 Brasil </w:t>
            </w:r>
            <w:r w:rsidR="009850F1"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con Panamá y Perú</w:t>
            </w:r>
            <w:r w:rsid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. </w:t>
            </w:r>
          </w:p>
          <w:p w14:paraId="68373F2D" w14:textId="1203C374" w:rsidR="00586DFE" w:rsidRPr="002963F9" w:rsidRDefault="009850F1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Además, </w:t>
            </w:r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es importante resaltar también la extensión y las obligaciones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 transparencia de informaciones públicas </w:t>
            </w:r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impuestas por la recién publicada ley de las estatales en Brasil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, así como se refiere </w:t>
            </w:r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artículo 8° d</w:t>
            </w:r>
            <w:bookmarkStart w:id="0" w:name="_GoBack"/>
            <w:bookmarkEnd w:id="0"/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 la Ley de Transparencia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Perú</w:t>
            </w:r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que</w:t>
            </w:r>
            <w:r w:rsidRPr="009850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señala que además de las entidades previstas en el artículo 2° de la referida Ley, se incluyen a las empresas del Estado.</w:t>
            </w:r>
          </w:p>
        </w:tc>
      </w:tr>
      <w:tr w:rsidR="00586DFE" w:rsidRPr="008F4832" w14:paraId="3B852E1A" w14:textId="77777777" w:rsidTr="00DD3C49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14:paraId="791E412A" w14:textId="77777777" w:rsidR="00586DFE" w:rsidRDefault="00586DF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14:paraId="18B6E53E" w14:textId="65B06B6E" w:rsidR="00586DFE" w:rsidRPr="005449D0" w:rsidRDefault="00586DFE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Uruguay:</w:t>
            </w:r>
            <w:r w:rsidR="005018B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="00E03688" w:rsidRP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En Uruguay, la Administración para el cumplimiento de sus cometidos, delega el cumplimiento de determinadas actividades </w:t>
            </w:r>
            <w:r w:rsid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 entidades</w:t>
            </w:r>
            <w:r w:rsidR="00E03688" w:rsidRP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privad</w:t>
            </w:r>
            <w:r w:rsid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</w:t>
            </w:r>
            <w:r w:rsidR="00E03688" w:rsidRP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s, como puede ser el caso de la </w:t>
            </w:r>
            <w:r w:rsidR="00E03688" w:rsidRPr="00E03688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educación, salud</w:t>
            </w:r>
            <w:r w:rsidR="00E03688" w:rsidRP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 servicios públicos, conservando poderes de control sobre ellos.</w:t>
            </w:r>
            <w:r w:rsidR="00E036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BC334D" w:rsidRPr="00BC334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En Brasil, los tres niveles estatales (Unión Federal, estados federados y Ayuntamientos) pueden celebrar acuerdos de cooperación con entidades privadas sin fines de lucro (organizaciones sociales) para la ejecución y la promoción de actividades de interés público destinadas a la </w:t>
            </w:r>
            <w:r w:rsidR="00BC334D" w:rsidRPr="00BC334D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enseñanza, a la cultura, a la salud, a las pesquisas científicas, al desarrollo tecnológico y al medio ambiente.</w:t>
            </w:r>
            <w:r w:rsidR="00BC334D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  <w:r w:rsidR="00BC334D" w:rsidRPr="00BC334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Entonces, es posible decir que hay similitud en eses sujetos y hay potencial de desarrollar mejores prácticas de control de ellos.</w:t>
            </w:r>
            <w:r w:rsidR="00BC334D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 xml:space="preserve"> </w:t>
            </w:r>
          </w:p>
        </w:tc>
      </w:tr>
      <w:tr w:rsidR="002963F9" w:rsidRPr="008F4832" w14:paraId="21EB643E" w14:textId="77777777" w:rsidTr="0058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466638" w14:textId="77777777" w:rsidR="002963F9" w:rsidRPr="009E2A68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Conclusiones por País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473C6D" w14:textId="63910089" w:rsidR="002963F9" w:rsidRDefault="00BC334D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BC334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Se identificaron temas comunes que pueden ser enfatizados en el debate del grupo con miras a mejorar mecanismos de mayor eficiencia de la implementación de la ley de acceso a la información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por</w:t>
            </w:r>
            <w:r w:rsidRPr="00BC334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l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a</w:t>
            </w:r>
            <w:r w:rsidRPr="00BC334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entidades privadas en los </w:t>
            </w:r>
            <w:r w:rsidRPr="00BC334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países, </w:t>
            </w:r>
            <w:r w:rsid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por 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ejemplo,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las empresas estatales</w:t>
            </w:r>
            <w:r w:rsidRPr="00BC334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las empresas </w:t>
            </w:r>
            <w:r w:rsidRPr="008D141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lastRenderedPageBreak/>
              <w:t>concesionarias, permisionarias y autorizadas, así como las entidades privadas sin fines de lucro (organizaciones sociales)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. </w:t>
            </w:r>
          </w:p>
          <w:p w14:paraId="0B36D00F" w14:textId="2A5DE7CF" w:rsidR="004A786E" w:rsidRDefault="006B5B04" w:rsidP="004A78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Todavía n</w:t>
            </w:r>
            <w:r w:rsidR="008D141B" w:rsidRP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os parece interesante promover el debate sobre el desarrollo de mecanismos de transparencia de</w:t>
            </w:r>
            <w:r w:rsid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la </w:t>
            </w:r>
            <w:r w:rsidR="004A786E" w:rsidRP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contribución sindical</w:t>
            </w:r>
            <w:r w:rsid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, </w:t>
            </w:r>
            <w:r w:rsidR="004A786E" w:rsidRP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tema que ya abarca diversos precedentes de decisión favorable </w:t>
            </w:r>
            <w:r w:rsid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por</w:t>
            </w:r>
            <w:r w:rsidR="004A786E" w:rsidRP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la Oidoría General de la Unión en Brasil</w:t>
            </w:r>
            <w:r w:rsid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.</w:t>
            </w:r>
            <w:r w:rsidR="004A786E" w:rsidRPr="004A786E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</w:p>
          <w:p w14:paraId="4EDF834F" w14:textId="71943EDA" w:rsidR="00E03F54" w:rsidRDefault="00E03F54" w:rsidP="00E03F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La Ley 13.467/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2017 se trata de 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reciente 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reforma laboral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en Brasil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(</w:t>
            </w:r>
            <w:r w:rsidR="006B5B04"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CLT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, acrónimo en portugués)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que estableció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ser opcional la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contribución sindical, pasando a ser debida sólo por los empleados, trabajadores y empleadores que así lo autorizaron previa y expresamente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.</w:t>
            </w:r>
          </w:p>
          <w:p w14:paraId="69C79D6E" w14:textId="4A3D3A18" w:rsidR="006B5B04" w:rsidRDefault="00E03F54" w:rsidP="006B5B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A partir de la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Ley 13.567/2017, la contribución sindical prevista en la ley dejó de tener carácter tributario, por no ser una prestación obligatoria (artículo 3 del Código Tributario Nacional), pasando a tener carácter preponderantemente privado, aunque de forma atípica o sui generis.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Eso porque n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 se puede decir que se trata de prestación exclusiva privada,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cuanto a la transparencia de sus informaciones</w:t>
            </w:r>
            <w:r w:rsidR="00EA6FDA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que son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públicas,</w:t>
            </w:r>
            <w:r w:rsidRPr="00E03F5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ya que parte de los valores de la contribución sindical prevista en la ley, todavía se dirige al poder público, o sea, destinada a la "Cuenta Especial Empleo y Salario (Artículo 589 de la CLT), administrada por el Ministerio de Trabajo, pues sus valores integran los recursos del Fondo de Amparo al Trabajador.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</w:p>
          <w:p w14:paraId="4ACC7D2F" w14:textId="3ED20747" w:rsidR="008D141B" w:rsidRPr="008F4832" w:rsidRDefault="00EA6FDA" w:rsidP="006B5B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A6FDA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En este escenario de cambio legislativo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sobre o tema en Brasil, c</w:t>
            </w:r>
            <w:r w:rsid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reemos ser</w:t>
            </w:r>
            <w:r w:rsidR="006B5B04" w:rsidRP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posible desarrollar más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debates</w:t>
            </w:r>
            <w:r w:rsidR="006B5B04" w:rsidRP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para aclarar </w:t>
            </w:r>
            <w:r w:rsidR="006B5B04" w:rsidRP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importancia </w:t>
            </w:r>
            <w:r w:rsidR="006B5B04" w:rsidRP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la </w:t>
            </w:r>
            <w:r w:rsidR="006B5B04" w:rsidRPr="006B5B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transparencia de las informaciones de los recursos públicos destinados a las actividades políticas sindicales en los países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.</w:t>
            </w:r>
          </w:p>
        </w:tc>
      </w:tr>
      <w:tr w:rsidR="00882082" w:rsidRPr="008F4832" w14:paraId="5742C4B2" w14:textId="77777777" w:rsidTr="00DD3C49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14:paraId="5E717524" w14:textId="77777777" w:rsidR="00F617EE" w:rsidRPr="009E2A68" w:rsidRDefault="00F617EE" w:rsidP="008F4832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>Criterio Propuesto</w:t>
            </w:r>
          </w:p>
          <w:p w14:paraId="41A7BF05" w14:textId="77777777" w:rsidR="00882082" w:rsidRPr="009E2A68" w:rsidRDefault="00F617E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(Conclusión </w:t>
            </w:r>
            <w:r w:rsidR="002963F9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General </w:t>
            </w: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para el Grupo)</w:t>
            </w:r>
          </w:p>
        </w:tc>
        <w:tc>
          <w:tcPr>
            <w:tcW w:w="3834" w:type="pct"/>
            <w:vAlign w:val="center"/>
          </w:tcPr>
          <w:p w14:paraId="5B57ED98" w14:textId="77777777" w:rsidR="00882082" w:rsidRPr="008F4832" w:rsidRDefault="00882082" w:rsidP="008F483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3780D0C2" w14:textId="77777777" w:rsidR="00E131FB" w:rsidRPr="008F4832" w:rsidRDefault="00E131F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131FB" w:rsidRPr="008F4832" w:rsidSect="00EF1EF3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5FCB8" w14:textId="77777777" w:rsidR="0068482F" w:rsidRDefault="0068482F" w:rsidP="009E2A68">
      <w:pPr>
        <w:spacing w:after="0" w:line="240" w:lineRule="auto"/>
      </w:pPr>
      <w:r>
        <w:separator/>
      </w:r>
    </w:p>
  </w:endnote>
  <w:endnote w:type="continuationSeparator" w:id="0">
    <w:p w14:paraId="2CFC8183" w14:textId="77777777" w:rsidR="0068482F" w:rsidRDefault="0068482F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B448B1" w14:textId="52387986" w:rsidR="0068482F" w:rsidRPr="00FF5C3C" w:rsidRDefault="0068482F">
            <w:pPr>
              <w:pStyle w:val="Rodap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92B48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F92B48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3558C7D" w14:textId="77777777" w:rsidR="0068482F" w:rsidRPr="00FF5C3C" w:rsidRDefault="0068482F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12B0" w14:textId="77777777" w:rsidR="0068482F" w:rsidRDefault="0068482F" w:rsidP="009E2A68">
      <w:pPr>
        <w:spacing w:after="0" w:line="240" w:lineRule="auto"/>
      </w:pPr>
      <w:r>
        <w:separator/>
      </w:r>
    </w:p>
  </w:footnote>
  <w:footnote w:type="continuationSeparator" w:id="0">
    <w:p w14:paraId="14B0559C" w14:textId="77777777" w:rsidR="0068482F" w:rsidRDefault="0068482F" w:rsidP="009E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7F92" w14:textId="77777777" w:rsidR="0068482F" w:rsidRPr="008F4DF4" w:rsidRDefault="0068482F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E2B300F" wp14:editId="59DFBBA4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14:paraId="5804E25F" w14:textId="77777777" w:rsidR="0068482F" w:rsidRPr="008F4DF4" w:rsidRDefault="0068482F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Debate sobre posicionamientos</w:t>
    </w:r>
  </w:p>
  <w:p w14:paraId="4E6D4AA6" w14:textId="77777777" w:rsidR="0068482F" w:rsidRDefault="0068482F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14:paraId="51D5B0F9" w14:textId="77777777" w:rsidR="0068482F" w:rsidRDefault="0068482F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>Séptimo</w:t>
    </w:r>
    <w:r w:rsidRPr="008F4DF4">
      <w:rPr>
        <w:rFonts w:ascii="Arial" w:hAnsi="Arial" w:cs="Arial"/>
        <w:b/>
        <w:smallCaps/>
        <w:sz w:val="24"/>
        <w:szCs w:val="24"/>
      </w:rPr>
      <w:t xml:space="preserve"> Debate Temático</w:t>
    </w:r>
  </w:p>
  <w:p w14:paraId="0DF3252A" w14:textId="77777777" w:rsidR="0068482F" w:rsidRDefault="0068482F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11955"/>
    <w:rsid w:val="000478B8"/>
    <w:rsid w:val="00097BDE"/>
    <w:rsid w:val="00123C94"/>
    <w:rsid w:val="00150183"/>
    <w:rsid w:val="001F1D8B"/>
    <w:rsid w:val="00231614"/>
    <w:rsid w:val="00237D10"/>
    <w:rsid w:val="00287734"/>
    <w:rsid w:val="002963F9"/>
    <w:rsid w:val="002E162F"/>
    <w:rsid w:val="00324388"/>
    <w:rsid w:val="0033112F"/>
    <w:rsid w:val="0033282F"/>
    <w:rsid w:val="0039462F"/>
    <w:rsid w:val="003A596B"/>
    <w:rsid w:val="00420E96"/>
    <w:rsid w:val="00436105"/>
    <w:rsid w:val="00437516"/>
    <w:rsid w:val="004633C9"/>
    <w:rsid w:val="00486A8A"/>
    <w:rsid w:val="004A786E"/>
    <w:rsid w:val="004B2484"/>
    <w:rsid w:val="004B612B"/>
    <w:rsid w:val="005018B2"/>
    <w:rsid w:val="00521672"/>
    <w:rsid w:val="00522F6E"/>
    <w:rsid w:val="00542156"/>
    <w:rsid w:val="005449D0"/>
    <w:rsid w:val="0055506D"/>
    <w:rsid w:val="00586DFE"/>
    <w:rsid w:val="005941F2"/>
    <w:rsid w:val="005E04AA"/>
    <w:rsid w:val="005E7239"/>
    <w:rsid w:val="0061563C"/>
    <w:rsid w:val="00622B72"/>
    <w:rsid w:val="00631AC6"/>
    <w:rsid w:val="006436F2"/>
    <w:rsid w:val="006537AD"/>
    <w:rsid w:val="006720BA"/>
    <w:rsid w:val="0068482F"/>
    <w:rsid w:val="006935C8"/>
    <w:rsid w:val="006B5B04"/>
    <w:rsid w:val="00787100"/>
    <w:rsid w:val="008641D6"/>
    <w:rsid w:val="00882082"/>
    <w:rsid w:val="008845B3"/>
    <w:rsid w:val="008A0A45"/>
    <w:rsid w:val="008A58CB"/>
    <w:rsid w:val="008D141B"/>
    <w:rsid w:val="008E056E"/>
    <w:rsid w:val="008E7729"/>
    <w:rsid w:val="008F4832"/>
    <w:rsid w:val="0095076A"/>
    <w:rsid w:val="00970F79"/>
    <w:rsid w:val="009760E6"/>
    <w:rsid w:val="009850F1"/>
    <w:rsid w:val="009857BE"/>
    <w:rsid w:val="00996932"/>
    <w:rsid w:val="009E2A68"/>
    <w:rsid w:val="00A27E14"/>
    <w:rsid w:val="00A47DE5"/>
    <w:rsid w:val="00A801E3"/>
    <w:rsid w:val="00AC7955"/>
    <w:rsid w:val="00B43402"/>
    <w:rsid w:val="00B927E9"/>
    <w:rsid w:val="00BC334D"/>
    <w:rsid w:val="00C403B6"/>
    <w:rsid w:val="00C469C3"/>
    <w:rsid w:val="00CB058C"/>
    <w:rsid w:val="00CB3B99"/>
    <w:rsid w:val="00CE69D7"/>
    <w:rsid w:val="00D03CF0"/>
    <w:rsid w:val="00D42DD6"/>
    <w:rsid w:val="00DB2A84"/>
    <w:rsid w:val="00DD3C49"/>
    <w:rsid w:val="00E03688"/>
    <w:rsid w:val="00E03F54"/>
    <w:rsid w:val="00E10CD4"/>
    <w:rsid w:val="00E131FB"/>
    <w:rsid w:val="00E23674"/>
    <w:rsid w:val="00EA6FDA"/>
    <w:rsid w:val="00EB564D"/>
    <w:rsid w:val="00EF1EF3"/>
    <w:rsid w:val="00EF4D59"/>
    <w:rsid w:val="00F11AF9"/>
    <w:rsid w:val="00F246BB"/>
    <w:rsid w:val="00F368BA"/>
    <w:rsid w:val="00F617EE"/>
    <w:rsid w:val="00F64D83"/>
    <w:rsid w:val="00F81EF0"/>
    <w:rsid w:val="00F846FC"/>
    <w:rsid w:val="00F90D24"/>
    <w:rsid w:val="00F92B48"/>
    <w:rsid w:val="00FC3A0E"/>
    <w:rsid w:val="00FD1349"/>
    <w:rsid w:val="00FF4F3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D05F"/>
  <w15:docId w15:val="{8FCF4A4A-8170-4164-B3F7-B63B2B0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AC7955"/>
    <w:rPr>
      <w:b/>
      <w:bCs/>
      <w:smallCaps/>
      <w:spacing w:val="5"/>
    </w:rPr>
  </w:style>
  <w:style w:type="table" w:styleId="ListaClara-nfase2">
    <w:name w:val="Light List Accent 2"/>
    <w:basedOn w:val="Tabe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A68"/>
  </w:style>
  <w:style w:type="paragraph" w:styleId="Rodap">
    <w:name w:val="footer"/>
    <w:basedOn w:val="Normal"/>
    <w:link w:val="RodapCh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AC475AFB66A43B2316B05CBFB6904" ma:contentTypeVersion="3" ma:contentTypeDescription="Crear nuevo documento." ma:contentTypeScope="" ma:versionID="fbb4a129c93cd6e6f13386079142a03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2bfcf546868ddb10d17b3bf88d5500c9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labras clave de empresa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59838BCA-1531-48F9-88B8-A46DE69C0265}"/>
</file>

<file path=customXml/itemProps2.xml><?xml version="1.0" encoding="utf-8"?>
<ds:datastoreItem xmlns:ds="http://schemas.openxmlformats.org/officeDocument/2006/customXml" ds:itemID="{5A063B35-B284-40F3-8B05-2E75D16B0F1F}"/>
</file>

<file path=customXml/itemProps3.xml><?xml version="1.0" encoding="utf-8"?>
<ds:datastoreItem xmlns:ds="http://schemas.openxmlformats.org/officeDocument/2006/customXml" ds:itemID="{A683F854-B024-41AB-8BB6-B31A672EC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la Paz-Pérez Farca</dc:creator>
  <cp:lastModifiedBy>Flavia Lemos Sampaio Xavier</cp:lastModifiedBy>
  <cp:revision>18</cp:revision>
  <cp:lastPrinted>2015-11-23T17:16:00Z</cp:lastPrinted>
  <dcterms:created xsi:type="dcterms:W3CDTF">2018-06-04T22:14:00Z</dcterms:created>
  <dcterms:modified xsi:type="dcterms:W3CDTF">2018-06-06T18:29:00Z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</Properties>
</file>