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2B" w:rsidRPr="008F4832" w:rsidRDefault="004B612B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31FB" w:rsidRPr="009E2A68" w:rsidRDefault="00E131FB" w:rsidP="008F483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mallCaps/>
          <w:sz w:val="24"/>
          <w:szCs w:val="24"/>
        </w:rPr>
      </w:pPr>
      <w:r w:rsidRPr="009E2A68">
        <w:rPr>
          <w:rFonts w:ascii="Arial" w:hAnsi="Arial" w:cs="Arial"/>
          <w:b/>
          <w:smallCaps/>
          <w:sz w:val="24"/>
          <w:szCs w:val="24"/>
        </w:rPr>
        <w:t>Procedimiento para las conclusiones</w:t>
      </w:r>
      <w:r w:rsidR="0033282F" w:rsidRPr="009E2A68">
        <w:rPr>
          <w:rFonts w:ascii="Arial" w:hAnsi="Arial" w:cs="Arial"/>
          <w:b/>
          <w:smallCaps/>
          <w:sz w:val="24"/>
          <w:szCs w:val="24"/>
        </w:rPr>
        <w:t>:</w:t>
      </w:r>
    </w:p>
    <w:p w:rsidR="00882082" w:rsidRPr="008F4832" w:rsidRDefault="00882082" w:rsidP="008F48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2082" w:rsidRPr="008F4832" w:rsidRDefault="00882082" w:rsidP="008F48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832">
        <w:rPr>
          <w:rFonts w:ascii="Arial" w:hAnsi="Arial" w:cs="Arial"/>
          <w:sz w:val="24"/>
          <w:szCs w:val="24"/>
        </w:rPr>
        <w:t xml:space="preserve">Una vez que se tenga la información </w:t>
      </w:r>
      <w:r w:rsidR="00F617EE" w:rsidRPr="008F4832">
        <w:rPr>
          <w:rFonts w:ascii="Arial" w:hAnsi="Arial" w:cs="Arial"/>
          <w:sz w:val="24"/>
          <w:szCs w:val="24"/>
        </w:rPr>
        <w:t>de todos los países</w:t>
      </w:r>
      <w:r w:rsidR="00097BDE" w:rsidRPr="008F4832">
        <w:rPr>
          <w:rFonts w:ascii="Arial" w:hAnsi="Arial" w:cs="Arial"/>
          <w:sz w:val="24"/>
          <w:szCs w:val="24"/>
        </w:rPr>
        <w:t xml:space="preserve">, </w:t>
      </w:r>
      <w:r w:rsidRPr="008F4832">
        <w:rPr>
          <w:rFonts w:ascii="Arial" w:hAnsi="Arial" w:cs="Arial"/>
          <w:sz w:val="24"/>
          <w:szCs w:val="24"/>
        </w:rPr>
        <w:t xml:space="preserve">cada </w:t>
      </w:r>
      <w:r w:rsidR="00097BDE" w:rsidRPr="008F4832">
        <w:rPr>
          <w:rFonts w:ascii="Arial" w:hAnsi="Arial" w:cs="Arial"/>
          <w:sz w:val="24"/>
          <w:szCs w:val="24"/>
        </w:rPr>
        <w:t>uno de ellos</w:t>
      </w:r>
      <w:r w:rsidRPr="008F4832">
        <w:rPr>
          <w:rFonts w:ascii="Arial" w:hAnsi="Arial" w:cs="Arial"/>
          <w:sz w:val="24"/>
          <w:szCs w:val="24"/>
        </w:rPr>
        <w:t xml:space="preserve"> deberá emitir sus propias conclusiones y proponer una conclusión general para el Grupo</w:t>
      </w:r>
      <w:r w:rsidR="00F617EE" w:rsidRPr="008F4832">
        <w:rPr>
          <w:rFonts w:ascii="Arial" w:hAnsi="Arial" w:cs="Arial"/>
          <w:sz w:val="24"/>
          <w:szCs w:val="24"/>
        </w:rPr>
        <w:t xml:space="preserve"> de Jurisprudencia </w:t>
      </w:r>
      <w:r w:rsidR="0055506D">
        <w:rPr>
          <w:rFonts w:ascii="Arial" w:hAnsi="Arial" w:cs="Arial"/>
          <w:sz w:val="24"/>
          <w:szCs w:val="24"/>
        </w:rPr>
        <w:t>y Criterios Administrativos</w:t>
      </w:r>
      <w:r w:rsidRPr="008F4832">
        <w:rPr>
          <w:rFonts w:ascii="Arial" w:hAnsi="Arial" w:cs="Arial"/>
          <w:sz w:val="24"/>
          <w:szCs w:val="24"/>
        </w:rPr>
        <w:t>.</w:t>
      </w:r>
    </w:p>
    <w:p w:rsidR="00882082" w:rsidRPr="008F4832" w:rsidRDefault="00882082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2082" w:rsidRPr="008F4832" w:rsidRDefault="0055506D" w:rsidP="008F48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97BDE" w:rsidRPr="008F4832">
        <w:rPr>
          <w:rFonts w:ascii="Arial" w:hAnsi="Arial" w:cs="Arial"/>
          <w:sz w:val="24"/>
          <w:szCs w:val="24"/>
        </w:rPr>
        <w:t>l INAI</w:t>
      </w:r>
      <w:r w:rsidR="00882082" w:rsidRPr="008F48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como moderador del Debate,</w:t>
      </w:r>
      <w:r w:rsidR="00882082" w:rsidRPr="008F4832">
        <w:rPr>
          <w:rFonts w:ascii="Arial" w:hAnsi="Arial" w:cs="Arial"/>
          <w:sz w:val="24"/>
          <w:szCs w:val="24"/>
        </w:rPr>
        <w:t xml:space="preserve"> elaborará un análisis de todas las propuestas y emitirá un criterio </w:t>
      </w:r>
      <w:r w:rsidR="00F617EE" w:rsidRPr="008F4832">
        <w:rPr>
          <w:rFonts w:ascii="Arial" w:hAnsi="Arial" w:cs="Arial"/>
          <w:sz w:val="24"/>
          <w:szCs w:val="24"/>
        </w:rPr>
        <w:t xml:space="preserve">único </w:t>
      </w:r>
      <w:r w:rsidR="00882082" w:rsidRPr="008F4832">
        <w:rPr>
          <w:rFonts w:ascii="Arial" w:hAnsi="Arial" w:cs="Arial"/>
          <w:sz w:val="24"/>
          <w:szCs w:val="24"/>
        </w:rPr>
        <w:t xml:space="preserve">que enviará </w:t>
      </w:r>
      <w:r>
        <w:rPr>
          <w:rFonts w:ascii="Arial" w:hAnsi="Arial" w:cs="Arial"/>
          <w:sz w:val="24"/>
          <w:szCs w:val="24"/>
        </w:rPr>
        <w:t>a consideración de</w:t>
      </w:r>
      <w:r w:rsidR="00882082" w:rsidRPr="008F4832">
        <w:rPr>
          <w:rFonts w:ascii="Arial" w:hAnsi="Arial" w:cs="Arial"/>
          <w:sz w:val="24"/>
          <w:szCs w:val="24"/>
        </w:rPr>
        <w:t xml:space="preserve"> los países miembros para </w:t>
      </w:r>
      <w:r w:rsidR="005E04AA" w:rsidRPr="008F4832">
        <w:rPr>
          <w:rFonts w:ascii="Arial" w:hAnsi="Arial" w:cs="Arial"/>
          <w:sz w:val="24"/>
          <w:szCs w:val="24"/>
        </w:rPr>
        <w:t xml:space="preserve">reflejar la posición que tiene el grupo en </w:t>
      </w:r>
      <w:r>
        <w:rPr>
          <w:rFonts w:ascii="Arial" w:hAnsi="Arial" w:cs="Arial"/>
          <w:sz w:val="24"/>
          <w:szCs w:val="24"/>
        </w:rPr>
        <w:t>el</w:t>
      </w:r>
      <w:r w:rsidR="005E04AA" w:rsidRPr="008F4832">
        <w:rPr>
          <w:rFonts w:ascii="Arial" w:hAnsi="Arial" w:cs="Arial"/>
          <w:sz w:val="24"/>
          <w:szCs w:val="24"/>
        </w:rPr>
        <w:t xml:space="preserve"> tema</w:t>
      </w:r>
      <w:r w:rsidR="00882082" w:rsidRPr="008F4832">
        <w:rPr>
          <w:rFonts w:ascii="Arial" w:hAnsi="Arial" w:cs="Arial"/>
          <w:sz w:val="24"/>
          <w:szCs w:val="24"/>
        </w:rPr>
        <w:t xml:space="preserve">. </w:t>
      </w:r>
    </w:p>
    <w:p w:rsidR="0033282F" w:rsidRPr="006720BA" w:rsidRDefault="0033282F" w:rsidP="006720BA">
      <w:pPr>
        <w:spacing w:after="0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tbl>
      <w:tblPr>
        <w:tblStyle w:val="Listaclara-nfasis2"/>
        <w:tblW w:w="5005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359"/>
        <w:gridCol w:w="11045"/>
      </w:tblGrid>
      <w:tr w:rsidR="00882082" w:rsidRPr="008F4832" w:rsidTr="00DD3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365F91" w:themeFill="accent1" w:themeFillShade="BF"/>
            <w:vAlign w:val="center"/>
          </w:tcPr>
          <w:p w:rsidR="00882082" w:rsidRPr="00E10CD4" w:rsidRDefault="005449D0" w:rsidP="00E10CD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C</w:t>
            </w:r>
            <w:r w:rsidRPr="004C3FFD"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uando una persona jurídica de derecho privado es sujeto obligado de la Ley de Trans</w:t>
            </w: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parencia y Acceso a Información</w:t>
            </w:r>
          </w:p>
        </w:tc>
      </w:tr>
      <w:tr w:rsidR="00586DFE" w:rsidRPr="008F4832" w:rsidTr="0058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6DFE" w:rsidRPr="009E2A68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Elementos a destacar sobre el posicionamiento de otros países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488C" w:rsidRDefault="00586DFE" w:rsidP="00C24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B4340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Brasil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  <w:r w:rsidR="00C24EE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</w:p>
          <w:p w:rsidR="00586DFE" w:rsidRDefault="009B488C" w:rsidP="00C24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-</w:t>
            </w:r>
            <w:r w:rsidR="00C24EE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Es importante destacar que la Ley de Acceso a la Información determina que las entidades privadas sin fines de lucro asociadas al Estado mediante cualquier acuerdo legal están sujetas a atender las solicitudes de acceso que se le presenten, de lo contrario se le podrán imponer penalidades. </w:t>
            </w:r>
          </w:p>
          <w:p w:rsidR="00C24EED" w:rsidRPr="002963F9" w:rsidRDefault="009B488C" w:rsidP="00B744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-</w:t>
            </w:r>
            <w:r w:rsidR="00B7448A" w:rsidRPr="004B157D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val="es-MX"/>
              </w:rPr>
              <w:t>Apoyamos</w:t>
            </w:r>
            <w:r w:rsidR="00C24EED" w:rsidRPr="004B157D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val="es-MX"/>
              </w:rPr>
              <w:t xml:space="preserve"> la postura de la Contraloría General de la Unión (CGU), donde establecen que los órganos supervisores deben alcanzar mayor coordinación para fortalecer las acciones de fiscalización </w:t>
            </w:r>
            <w:r w:rsidR="00B7448A" w:rsidRPr="004B157D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val="es-MX"/>
              </w:rPr>
              <w:t>para</w:t>
            </w:r>
            <w:r w:rsidR="00C24EED" w:rsidRPr="004B157D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val="es-MX"/>
              </w:rPr>
              <w:t xml:space="preserve"> la rendición de cuentas sobre las entidades privadas; igualmente </w:t>
            </w:r>
            <w:r w:rsidR="00BD1FAE" w:rsidRPr="004B157D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val="es-MX"/>
              </w:rPr>
              <w:t>la inclusión de nuevos sujetos obligados, por ejemplo</w:t>
            </w:r>
            <w:r w:rsidR="00B7448A" w:rsidRPr="004B157D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val="es-MX"/>
              </w:rPr>
              <w:t>,</w:t>
            </w:r>
            <w:r w:rsidR="00BD1FAE" w:rsidRPr="004B157D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val="es-MX"/>
              </w:rPr>
              <w:t xml:space="preserve"> las empresas que reciban aportes financieros del Estado</w:t>
            </w:r>
            <w:r w:rsidR="00BD1FAE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. </w:t>
            </w:r>
          </w:p>
        </w:tc>
      </w:tr>
      <w:tr w:rsidR="00586DFE" w:rsidRPr="008F4832" w:rsidTr="00DD3C49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586DFE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9B488C" w:rsidRDefault="00586DFE" w:rsidP="009B48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Colombia:</w:t>
            </w:r>
            <w:r w:rsidR="009B488C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 xml:space="preserve"> </w:t>
            </w:r>
          </w:p>
          <w:p w:rsidR="00586DFE" w:rsidRDefault="009B488C" w:rsidP="009B48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-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Tomando en cuenta todas las disposiciones que ampara la legislación colombiana, debemos destacar que a pesar de que se reforzó el alcance a las personas jurídicas de derecho privado mediante una política pública de rendición de cuentas; aún no se ha logrado que las empresas privadas cumplan con todos los requerimientos y criterios pertinentes que sigue esa política pública en esa materia, </w:t>
            </w:r>
            <w:r w:rsidRPr="004B157D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val="es-MX"/>
              </w:rPr>
              <w:t>no existe el carácter de obligatoriedad en la rendición de cuentas.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</w:p>
          <w:p w:rsidR="009B488C" w:rsidRPr="00B43402" w:rsidRDefault="009B488C" w:rsidP="009B48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-Apoyamos la iniciativa de robustecer los mecanismos y vigilancia al cumplimiento del derecho de acceso a la información en el sector privado. </w:t>
            </w:r>
          </w:p>
        </w:tc>
      </w:tr>
      <w:tr w:rsidR="00586DFE" w:rsidRPr="008F4832" w:rsidTr="0058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6DFE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6DFE" w:rsidRDefault="00586DFE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México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</w:p>
          <w:p w:rsidR="00966C2A" w:rsidRDefault="00966C2A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-En su normativa amparan el tipo de concesiones en donde se le confiere a un particular de ciertas prerrogativas públicas para la explotación de un bien o </w:t>
            </w:r>
            <w:r w:rsidR="00BA140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servicio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p</w:t>
            </w:r>
            <w:r w:rsidR="00BA140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úblico y establece que siguiendo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este hecho y </w:t>
            </w:r>
            <w:r w:rsidR="00BA140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cualquiera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que sea la naturaleza</w:t>
            </w:r>
            <w:r w:rsidR="00BA140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siendo beneficiario o beneficiado del bien o servicio, será un </w:t>
            </w:r>
            <w:r w:rsidR="00BA140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lastRenderedPageBreak/>
              <w:t xml:space="preserve">sujeto obligado subsidiario en el cumplimiento de las obligaciones de transparencia en relaciones a los programas sociales, bienes o servicios. </w:t>
            </w:r>
          </w:p>
          <w:p w:rsidR="00966C2A" w:rsidRPr="00966C2A" w:rsidRDefault="00966C2A" w:rsidP="00B744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-Es de suma importancia que se establezcan lineamientos que regulen la rendición de cuentas de los sujetos obligados, al igual que las sanciones que se ameriten a est</w:t>
            </w:r>
            <w:r w:rsidR="00B7448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s por el incumplimiento a la norma de transparencia y el acceso a la información. </w:t>
            </w:r>
          </w:p>
        </w:tc>
      </w:tr>
      <w:tr w:rsidR="00586DFE" w:rsidRPr="008F4832" w:rsidTr="00DD3C49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586DFE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586DFE" w:rsidRPr="002963F9" w:rsidRDefault="00586DFE" w:rsidP="00B434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Panamá</w:t>
            </w:r>
            <w:r w:rsidRPr="00B4340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  <w:r w:rsidR="00C24EE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--</w:t>
            </w:r>
          </w:p>
        </w:tc>
      </w:tr>
      <w:tr w:rsidR="00586DFE" w:rsidRPr="008F4832" w:rsidTr="0058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6DFE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6DFE" w:rsidRDefault="00586DFE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5449D0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Perú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</w:p>
          <w:p w:rsidR="00C35B35" w:rsidRDefault="00C35B35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-Establece la </w:t>
            </w:r>
            <w:r w:rsidR="00B7448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posibilidad que u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na empresa privada puede administrar un recurso público; esto es a través de una Asociación Público Privada (APP) exclusivamente, entendiéndose que estas están sujetas a la normativa de transparencia y acceso a la información pública. </w:t>
            </w:r>
          </w:p>
          <w:p w:rsidR="00C35B35" w:rsidRPr="002963F9" w:rsidRDefault="00C35B35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-Nos parece importante recalcar el proyecto de ley que busca que </w:t>
            </w:r>
            <w:r w:rsidRPr="004B157D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val="es-MX"/>
              </w:rPr>
              <w:t>las entidades públicas brinden información sobre los avances trimestrales en la ejecución física de obras o servicios relacionados con proyectos de inversión pública en cualquiera de sus modalidades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, así como las medidas de seguimiento control efectuadas para garantizar su cumplimiento. </w:t>
            </w:r>
          </w:p>
        </w:tc>
      </w:tr>
      <w:tr w:rsidR="00586DFE" w:rsidRPr="008F4832" w:rsidTr="00DD3C4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586DFE" w:rsidRDefault="00586DF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586DFE" w:rsidRDefault="00586DFE" w:rsidP="00B434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Uruguay:</w:t>
            </w:r>
          </w:p>
          <w:p w:rsidR="00E95833" w:rsidRPr="00E95833" w:rsidRDefault="00E95833" w:rsidP="00B744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-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Apoyamos la iniciativa de fortalecer la ley de transparencia y acceso a la información pública para que la misma sea extensiva a las personas privadas (físicas y jurídicas) que gestionen, ejecuten y/o administren fondos o recursos públicos</w:t>
            </w:r>
            <w:r w:rsidR="00B7448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; igualmente a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plaudimos su iniciativa de incluir nuevos sujetos obligados en su próxima reforma a la Ley N°18.</w:t>
            </w:r>
          </w:p>
        </w:tc>
      </w:tr>
      <w:tr w:rsidR="002963F9" w:rsidRPr="008F4832" w:rsidTr="0058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963F9" w:rsidRPr="009E2A68" w:rsidRDefault="002963F9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Conclusiones por País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63F9" w:rsidRPr="008F4832" w:rsidRDefault="002963F9" w:rsidP="008F4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882082" w:rsidRPr="008F4832" w:rsidTr="00DD3C49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617EE" w:rsidRPr="009E2A68" w:rsidRDefault="00F617EE" w:rsidP="008F4832">
            <w:pPr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Criterio Propuesto</w:t>
            </w:r>
          </w:p>
          <w:p w:rsidR="00882082" w:rsidRPr="009E2A68" w:rsidRDefault="00F617E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 xml:space="preserve">(Conclusión </w:t>
            </w:r>
            <w:r w:rsidR="002963F9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 xml:space="preserve">General </w:t>
            </w: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para el Grupo)</w:t>
            </w:r>
          </w:p>
        </w:tc>
        <w:tc>
          <w:tcPr>
            <w:tcW w:w="3834" w:type="pct"/>
            <w:vAlign w:val="center"/>
          </w:tcPr>
          <w:p w:rsidR="00C464E1" w:rsidRDefault="00C464E1" w:rsidP="00C464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Los Estados deben tomar las medidas necesarias </w:t>
            </w:r>
            <w:r w:rsidR="00B7448A">
              <w:rPr>
                <w:rFonts w:ascii="Arial" w:eastAsia="Times New Roman" w:hAnsi="Arial" w:cs="Arial"/>
                <w:iCs/>
                <w:sz w:val="24"/>
                <w:szCs w:val="24"/>
              </w:rPr>
              <w:t>y establecer en sus normativas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="00F064E7" w:rsidRPr="006E2A35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  <w:t xml:space="preserve">definiciones respecto a </w:t>
            </w:r>
            <w:r w:rsidRPr="006E2A35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  <w:t>nuevos sujetos obligados</w:t>
            </w:r>
            <w:r w:rsidR="00B7448A" w:rsidRPr="006E2A35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  <w:t>,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al igual que robustecer los lineamientos, mecanismos o políticas que garanticen el acceso a la información y la rendición de cuentas de estos sujetos obligados, al igual que las sanciones pertinentes a quien</w:t>
            </w:r>
            <w:r w:rsidR="00B7448A">
              <w:rPr>
                <w:rFonts w:ascii="Arial" w:eastAsia="Times New Roman" w:hAnsi="Arial" w:cs="Arial"/>
                <w:iCs/>
                <w:sz w:val="24"/>
                <w:szCs w:val="24"/>
              </w:rPr>
              <w:t>es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incumpla</w:t>
            </w:r>
            <w:r w:rsidR="00B7448A">
              <w:rPr>
                <w:rFonts w:ascii="Arial" w:eastAsia="Times New Roman" w:hAnsi="Arial" w:cs="Arial"/>
                <w:iCs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la norma, con el fin de superar las barreras con que actualmente constan algunos países. </w:t>
            </w:r>
          </w:p>
          <w:p w:rsidR="00C464E1" w:rsidRDefault="00C464E1" w:rsidP="00C464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1817FE" w:rsidRDefault="00C464E1" w:rsidP="00C464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E2A35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  <w:t xml:space="preserve">Se debe crear conciencia respecto a la rendición de cuentas de las empresas privadas que sean sujeto obligado de la ley de transparencia, toda vez que estas </w:t>
            </w:r>
            <w:r w:rsidR="001817FE" w:rsidRPr="006E2A35"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  <w:t>ejercen recursos públicos.</w:t>
            </w:r>
            <w:r w:rsidR="001817F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  <w:p w:rsidR="00C464E1" w:rsidRDefault="001817FE" w:rsidP="00C464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Debemos </w:t>
            </w:r>
            <w:r w:rsidR="00C464E1">
              <w:rPr>
                <w:rFonts w:ascii="Arial" w:eastAsia="Times New Roman" w:hAnsi="Arial" w:cs="Arial"/>
                <w:iCs/>
                <w:sz w:val="24"/>
                <w:szCs w:val="24"/>
              </w:rPr>
              <w:t>acarrea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r</w:t>
            </w:r>
            <w:r w:rsidR="00C464E1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un Estado más informado respecto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al derecho de acceso a la información, </w:t>
            </w:r>
            <w:r w:rsidR="00C464E1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a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los bienes y servicios </w:t>
            </w:r>
            <w:r w:rsidR="00C464E1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en cuanto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al aseguramiento y fiscalización se refiere, respecto a los recursos estatales</w:t>
            </w:r>
            <w:r w:rsidR="00C464E1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. </w:t>
            </w:r>
          </w:p>
          <w:p w:rsidR="00E95833" w:rsidRDefault="00E95833" w:rsidP="00C464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95833" w:rsidRDefault="00E95833" w:rsidP="00C464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Será importante extender el alcance de la norma a la administración y gestión de fondos públicos. </w:t>
            </w:r>
          </w:p>
          <w:p w:rsidR="00C464E1" w:rsidRDefault="00C464E1" w:rsidP="00C464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95833" w:rsidRPr="008F4832" w:rsidRDefault="00C464E1" w:rsidP="006E2A3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Teniendo como bas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e el acceso a la información pública </w:t>
            </w:r>
            <w:r w:rsidR="00F064E7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se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favorece la democracia, así como la eficiencia y la rendición de cuentas, lo que se desea lograr es una buena gestión administrativa y buen funcionamiento del Estado.</w:t>
            </w:r>
          </w:p>
        </w:tc>
      </w:tr>
    </w:tbl>
    <w:p w:rsidR="00E131FB" w:rsidRPr="008F4832" w:rsidRDefault="00E131FB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131FB" w:rsidRPr="008F4832" w:rsidSect="00EF1EF3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64" w:rsidRDefault="00151E64" w:rsidP="009E2A68">
      <w:pPr>
        <w:spacing w:after="0" w:line="240" w:lineRule="auto"/>
      </w:pPr>
      <w:r>
        <w:separator/>
      </w:r>
    </w:p>
  </w:endnote>
  <w:endnote w:type="continuationSeparator" w:id="0">
    <w:p w:rsidR="00151E64" w:rsidRDefault="00151E64" w:rsidP="009E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3472555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5C3C" w:rsidRPr="00FF5C3C" w:rsidRDefault="00FF5C3C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FF5C3C">
              <w:rPr>
                <w:rFonts w:ascii="Arial" w:hAnsi="Arial" w:cs="Arial"/>
                <w:sz w:val="18"/>
              </w:rPr>
              <w:t xml:space="preserve">Página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151E64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FF5C3C">
              <w:rPr>
                <w:rFonts w:ascii="Arial" w:hAnsi="Arial" w:cs="Arial"/>
                <w:sz w:val="18"/>
              </w:rPr>
              <w:t xml:space="preserve"> de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151E64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FF5C3C" w:rsidRPr="00FF5C3C" w:rsidRDefault="00FF5C3C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64" w:rsidRDefault="00151E64" w:rsidP="009E2A68">
      <w:pPr>
        <w:spacing w:after="0" w:line="240" w:lineRule="auto"/>
      </w:pPr>
      <w:r>
        <w:separator/>
      </w:r>
    </w:p>
  </w:footnote>
  <w:footnote w:type="continuationSeparator" w:id="0">
    <w:p w:rsidR="00151E64" w:rsidRDefault="00151E64" w:rsidP="009E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68" w:rsidRPr="008F4DF4" w:rsidRDefault="009E2A68" w:rsidP="009E2A68">
    <w:pPr>
      <w:spacing w:after="0" w:line="240" w:lineRule="auto"/>
      <w:jc w:val="right"/>
      <w:rPr>
        <w:rFonts w:ascii="Arial" w:hAnsi="Arial" w:cs="Arial"/>
        <w:b/>
        <w:smallCaps/>
      </w:rPr>
    </w:pPr>
    <w:r w:rsidRPr="008F4DF4">
      <w:rPr>
        <w:smallCaps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30EF221" wp14:editId="6F6B947B">
          <wp:simplePos x="0" y="0"/>
          <wp:positionH relativeFrom="margin">
            <wp:posOffset>371475</wp:posOffset>
          </wp:positionH>
          <wp:positionV relativeFrom="margin">
            <wp:posOffset>-1037590</wp:posOffset>
          </wp:positionV>
          <wp:extent cx="1104900" cy="830580"/>
          <wp:effectExtent l="0" t="0" r="0" b="7620"/>
          <wp:wrapSquare wrapText="bothSides"/>
          <wp:docPr id="12" name="3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3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DF4">
      <w:rPr>
        <w:rFonts w:ascii="Arial" w:hAnsi="Arial" w:cs="Arial"/>
        <w:b/>
        <w:smallCaps/>
      </w:rPr>
      <w:t>Grupo de Jurisprudencia y Criterios Administrativos</w:t>
    </w:r>
  </w:p>
  <w:p w:rsidR="009E2A68" w:rsidRPr="008F4DF4" w:rsidRDefault="00EF1EF3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smallCaps/>
        <w:sz w:val="24"/>
        <w:szCs w:val="24"/>
      </w:rPr>
    </w:pPr>
    <w:r>
      <w:rPr>
        <w:rFonts w:ascii="Arial" w:hAnsi="Arial" w:cs="Arial"/>
        <w:smallCaps/>
        <w:sz w:val="24"/>
        <w:szCs w:val="24"/>
      </w:rPr>
      <w:t>Debate sobre posicionamiento</w:t>
    </w:r>
    <w:r w:rsidR="00DB2A84">
      <w:rPr>
        <w:rFonts w:ascii="Arial" w:hAnsi="Arial" w:cs="Arial"/>
        <w:smallCaps/>
        <w:sz w:val="24"/>
        <w:szCs w:val="24"/>
      </w:rPr>
      <w:t>s</w:t>
    </w:r>
  </w:p>
  <w:p w:rsidR="009E2A68" w:rsidRDefault="009E2A68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  <w:p w:rsidR="009E2A68" w:rsidRDefault="005449D0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>Séptimo</w:t>
    </w:r>
    <w:r w:rsidR="009E2A68" w:rsidRPr="008F4DF4">
      <w:rPr>
        <w:rFonts w:ascii="Arial" w:hAnsi="Arial" w:cs="Arial"/>
        <w:b/>
        <w:smallCaps/>
        <w:sz w:val="24"/>
        <w:szCs w:val="24"/>
      </w:rPr>
      <w:t xml:space="preserve"> Debate Temático</w:t>
    </w:r>
  </w:p>
  <w:p w:rsidR="00FF5C3C" w:rsidRDefault="00FF5C3C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3750"/>
    <w:multiLevelType w:val="hybridMultilevel"/>
    <w:tmpl w:val="74A691E4"/>
    <w:lvl w:ilvl="0" w:tplc="4F32C8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63EE"/>
    <w:multiLevelType w:val="hybridMultilevel"/>
    <w:tmpl w:val="D9D684CA"/>
    <w:lvl w:ilvl="0" w:tplc="C5943C7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568F"/>
    <w:multiLevelType w:val="hybridMultilevel"/>
    <w:tmpl w:val="DDE2C88A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75C"/>
    <w:multiLevelType w:val="hybridMultilevel"/>
    <w:tmpl w:val="9260FF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4729B"/>
    <w:multiLevelType w:val="hybridMultilevel"/>
    <w:tmpl w:val="1778CC6C"/>
    <w:lvl w:ilvl="0" w:tplc="8A0C8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C181E"/>
    <w:multiLevelType w:val="hybridMultilevel"/>
    <w:tmpl w:val="C188F7D0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01E6B"/>
    <w:multiLevelType w:val="hybridMultilevel"/>
    <w:tmpl w:val="ED986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73F92"/>
    <w:multiLevelType w:val="hybridMultilevel"/>
    <w:tmpl w:val="8A8455B2"/>
    <w:lvl w:ilvl="0" w:tplc="BF40A4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FB"/>
    <w:rsid w:val="00011955"/>
    <w:rsid w:val="000478B8"/>
    <w:rsid w:val="00097BDE"/>
    <w:rsid w:val="00123C94"/>
    <w:rsid w:val="00150183"/>
    <w:rsid w:val="00151E64"/>
    <w:rsid w:val="001817FE"/>
    <w:rsid w:val="001F1D8B"/>
    <w:rsid w:val="00231614"/>
    <w:rsid w:val="00287734"/>
    <w:rsid w:val="002963F9"/>
    <w:rsid w:val="00324388"/>
    <w:rsid w:val="0033112F"/>
    <w:rsid w:val="0033282F"/>
    <w:rsid w:val="0039462F"/>
    <w:rsid w:val="003A596B"/>
    <w:rsid w:val="00420E96"/>
    <w:rsid w:val="00436105"/>
    <w:rsid w:val="00437516"/>
    <w:rsid w:val="004633C9"/>
    <w:rsid w:val="00463A5C"/>
    <w:rsid w:val="00486A8A"/>
    <w:rsid w:val="004B157D"/>
    <w:rsid w:val="004B612B"/>
    <w:rsid w:val="00521672"/>
    <w:rsid w:val="00522F6E"/>
    <w:rsid w:val="00542156"/>
    <w:rsid w:val="005449D0"/>
    <w:rsid w:val="0055506D"/>
    <w:rsid w:val="00586DFE"/>
    <w:rsid w:val="005941F2"/>
    <w:rsid w:val="005E04AA"/>
    <w:rsid w:val="0061563C"/>
    <w:rsid w:val="00622B72"/>
    <w:rsid w:val="006436F2"/>
    <w:rsid w:val="006537AD"/>
    <w:rsid w:val="006720BA"/>
    <w:rsid w:val="006935C8"/>
    <w:rsid w:val="006E2A35"/>
    <w:rsid w:val="00787100"/>
    <w:rsid w:val="008641D6"/>
    <w:rsid w:val="00882082"/>
    <w:rsid w:val="008E056E"/>
    <w:rsid w:val="008F4832"/>
    <w:rsid w:val="0095076A"/>
    <w:rsid w:val="00966C2A"/>
    <w:rsid w:val="00970F79"/>
    <w:rsid w:val="009760E6"/>
    <w:rsid w:val="009857BE"/>
    <w:rsid w:val="00996932"/>
    <w:rsid w:val="009B488C"/>
    <w:rsid w:val="009E2A68"/>
    <w:rsid w:val="00A27E14"/>
    <w:rsid w:val="00A801E3"/>
    <w:rsid w:val="00AC7955"/>
    <w:rsid w:val="00B43402"/>
    <w:rsid w:val="00B7448A"/>
    <w:rsid w:val="00B927E9"/>
    <w:rsid w:val="00BA140D"/>
    <w:rsid w:val="00BD1FAE"/>
    <w:rsid w:val="00C24EED"/>
    <w:rsid w:val="00C35B35"/>
    <w:rsid w:val="00C464E1"/>
    <w:rsid w:val="00C469C3"/>
    <w:rsid w:val="00C62294"/>
    <w:rsid w:val="00CB058C"/>
    <w:rsid w:val="00CB3B99"/>
    <w:rsid w:val="00DB2A84"/>
    <w:rsid w:val="00DD3C49"/>
    <w:rsid w:val="00E10CD4"/>
    <w:rsid w:val="00E131FB"/>
    <w:rsid w:val="00E23674"/>
    <w:rsid w:val="00E95833"/>
    <w:rsid w:val="00EB564D"/>
    <w:rsid w:val="00EF1EF3"/>
    <w:rsid w:val="00EF4D59"/>
    <w:rsid w:val="00F064E7"/>
    <w:rsid w:val="00F11AF9"/>
    <w:rsid w:val="00F246BB"/>
    <w:rsid w:val="00F368BA"/>
    <w:rsid w:val="00F617EE"/>
    <w:rsid w:val="00F64D83"/>
    <w:rsid w:val="00FC3A0E"/>
    <w:rsid w:val="00FD1349"/>
    <w:rsid w:val="00FF4F35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F4A4A-8170-4164-B3F7-B63B2B0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1FB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AC7955"/>
    <w:rPr>
      <w:b/>
      <w:bCs/>
      <w:smallCaps/>
      <w:spacing w:val="5"/>
    </w:rPr>
  </w:style>
  <w:style w:type="table" w:styleId="Listaclara-nfasis2">
    <w:name w:val="Light List Accent 2"/>
    <w:basedOn w:val="Tablanormal"/>
    <w:uiPriority w:val="61"/>
    <w:rsid w:val="008F48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A68"/>
  </w:style>
  <w:style w:type="paragraph" w:styleId="Piedepgina">
    <w:name w:val="footer"/>
    <w:basedOn w:val="Normal"/>
    <w:link w:val="PiedepginaC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CAC475AFB66A43B2316B05CBFB6904" ma:contentTypeVersion="3" ma:contentTypeDescription="Crear nuevo documento." ma:contentTypeScope="" ma:versionID="fbb4a129c93cd6e6f13386079142a039">
  <xsd:schema xmlns:xsd="http://www.w3.org/2001/XMLSchema" xmlns:xs="http://www.w3.org/2001/XMLSchema" xmlns:p="http://schemas.microsoft.com/office/2006/metadata/properties" xmlns:ns2="f4d36732-e6c1-4d35-a74a-a5258d763a75" targetNamespace="http://schemas.microsoft.com/office/2006/metadata/properties" ma:root="true" ma:fieldsID="2bfcf546868ddb10d17b3bf88d5500c9" ns2:_="">
    <xsd:import namespace="f4d36732-e6c1-4d35-a74a-a5258d763a7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6732-e6c1-4d35-a74a-a5258d763a7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Palabras clave de empresa" ma:fieldId="{23f27201-bee3-471e-b2e7-b64fd8b7ca38}" ma:taxonomyMulti="true" ma:sspId="e0f18e3d-76e0-4c60-8d9f-4e08cdb8b9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6c12cb8-ea0a-4be7-97ef-6175d20ab09a}" ma:internalName="TaxCatchAll" ma:showField="CatchAllData" ma:web="f4d36732-e6c1-4d35-a74a-a5258d76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d36732-e6c1-4d35-a74a-a5258d763a75">
      <Terms xmlns="http://schemas.microsoft.com/office/infopath/2007/PartnerControls"/>
    </TaxKeywordTaxHTField>
    <TaxCatchAll xmlns="f4d36732-e6c1-4d35-a74a-a5258d763a75"/>
  </documentManagement>
</p:properties>
</file>

<file path=customXml/itemProps1.xml><?xml version="1.0" encoding="utf-8"?>
<ds:datastoreItem xmlns:ds="http://schemas.openxmlformats.org/officeDocument/2006/customXml" ds:itemID="{7EE254BC-DBB8-41B4-951C-9FB40721DA9D}"/>
</file>

<file path=customXml/itemProps2.xml><?xml version="1.0" encoding="utf-8"?>
<ds:datastoreItem xmlns:ds="http://schemas.openxmlformats.org/officeDocument/2006/customXml" ds:itemID="{17B32C25-DC80-488A-9E46-85A7D3D14C75}"/>
</file>

<file path=customXml/itemProps3.xml><?xml version="1.0" encoding="utf-8"?>
<ds:datastoreItem xmlns:ds="http://schemas.openxmlformats.org/officeDocument/2006/customXml" ds:itemID="{7ABA3BE2-99F9-4286-98CA-803251A90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ifai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De la Paz-Pérez Farca</dc:creator>
  <cp:lastModifiedBy>Lilián Irazú Hernández Ojeda</cp:lastModifiedBy>
  <cp:revision>4</cp:revision>
  <cp:lastPrinted>2015-11-23T17:16:00Z</cp:lastPrinted>
  <dcterms:created xsi:type="dcterms:W3CDTF">2018-06-06T15:50:00Z</dcterms:created>
  <dcterms:modified xsi:type="dcterms:W3CDTF">2018-06-12T20:26:00Z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0x01010079CAC475AFB66A43B2316B05CBFB6904</vt:lpwstr>
  </property>
</Properties>
</file>