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1FB" w:rsidRPr="009E2A68" w:rsidRDefault="00E131FB" w:rsidP="008F483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9E2A68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9E2A68">
        <w:rPr>
          <w:rFonts w:ascii="Arial" w:hAnsi="Arial" w:cs="Arial"/>
          <w:b/>
          <w:smallCaps/>
          <w:sz w:val="24"/>
          <w:szCs w:val="24"/>
        </w:rPr>
        <w:t>: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832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8F4832">
        <w:rPr>
          <w:rFonts w:ascii="Arial" w:hAnsi="Arial" w:cs="Arial"/>
          <w:sz w:val="24"/>
          <w:szCs w:val="24"/>
        </w:rPr>
        <w:t>de todos los países</w:t>
      </w:r>
      <w:r w:rsidR="00097BDE" w:rsidRPr="008F4832">
        <w:rPr>
          <w:rFonts w:ascii="Arial" w:hAnsi="Arial" w:cs="Arial"/>
          <w:sz w:val="24"/>
          <w:szCs w:val="24"/>
        </w:rPr>
        <w:t xml:space="preserve">, </w:t>
      </w:r>
      <w:r w:rsidRPr="008F4832">
        <w:rPr>
          <w:rFonts w:ascii="Arial" w:hAnsi="Arial" w:cs="Arial"/>
          <w:sz w:val="24"/>
          <w:szCs w:val="24"/>
        </w:rPr>
        <w:t xml:space="preserve">cada </w:t>
      </w:r>
      <w:r w:rsidR="00097BDE" w:rsidRPr="008F4832">
        <w:rPr>
          <w:rFonts w:ascii="Arial" w:hAnsi="Arial" w:cs="Arial"/>
          <w:sz w:val="24"/>
          <w:szCs w:val="24"/>
        </w:rPr>
        <w:t>uno de ellos</w:t>
      </w:r>
      <w:r w:rsidRPr="008F4832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8F4832">
        <w:rPr>
          <w:rFonts w:ascii="Arial" w:hAnsi="Arial" w:cs="Arial"/>
          <w:sz w:val="24"/>
          <w:szCs w:val="24"/>
        </w:rPr>
        <w:t xml:space="preserve"> de Jurisprudencia </w:t>
      </w:r>
      <w:r w:rsidR="0055506D">
        <w:rPr>
          <w:rFonts w:ascii="Arial" w:hAnsi="Arial" w:cs="Arial"/>
          <w:sz w:val="24"/>
          <w:szCs w:val="24"/>
        </w:rPr>
        <w:t>y Criterios Administrativos</w:t>
      </w:r>
      <w:r w:rsidRPr="008F4832">
        <w:rPr>
          <w:rFonts w:ascii="Arial" w:hAnsi="Arial" w:cs="Arial"/>
          <w:sz w:val="24"/>
          <w:szCs w:val="24"/>
        </w:rPr>
        <w:t>.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082" w:rsidRPr="008F4832" w:rsidRDefault="0055506D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7BDE" w:rsidRPr="008F4832">
        <w:rPr>
          <w:rFonts w:ascii="Arial" w:hAnsi="Arial" w:cs="Arial"/>
          <w:sz w:val="24"/>
          <w:szCs w:val="24"/>
        </w:rPr>
        <w:t>l INAI</w:t>
      </w:r>
      <w:r w:rsidR="00882082" w:rsidRPr="008F48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moderador del Debate,</w:t>
      </w:r>
      <w:r w:rsidR="00882082" w:rsidRPr="008F4832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8F4832">
        <w:rPr>
          <w:rFonts w:ascii="Arial" w:hAnsi="Arial" w:cs="Arial"/>
          <w:sz w:val="24"/>
          <w:szCs w:val="24"/>
        </w:rPr>
        <w:t xml:space="preserve">único </w:t>
      </w:r>
      <w:r w:rsidR="00882082" w:rsidRPr="008F4832">
        <w:rPr>
          <w:rFonts w:ascii="Arial" w:hAnsi="Arial" w:cs="Arial"/>
          <w:sz w:val="24"/>
          <w:szCs w:val="24"/>
        </w:rPr>
        <w:t xml:space="preserve">que enviará </w:t>
      </w:r>
      <w:r>
        <w:rPr>
          <w:rFonts w:ascii="Arial" w:hAnsi="Arial" w:cs="Arial"/>
          <w:sz w:val="24"/>
          <w:szCs w:val="24"/>
        </w:rPr>
        <w:t>a consideración de</w:t>
      </w:r>
      <w:r w:rsidR="00882082" w:rsidRPr="008F4832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8F4832">
        <w:rPr>
          <w:rFonts w:ascii="Arial" w:hAnsi="Arial" w:cs="Arial"/>
          <w:sz w:val="24"/>
          <w:szCs w:val="24"/>
        </w:rPr>
        <w:t xml:space="preserve">reflejar la posición que tiene el grupo en </w:t>
      </w:r>
      <w:r>
        <w:rPr>
          <w:rFonts w:ascii="Arial" w:hAnsi="Arial" w:cs="Arial"/>
          <w:sz w:val="24"/>
          <w:szCs w:val="24"/>
        </w:rPr>
        <w:t>el</w:t>
      </w:r>
      <w:r w:rsidR="005E04AA" w:rsidRPr="008F4832">
        <w:rPr>
          <w:rFonts w:ascii="Arial" w:hAnsi="Arial" w:cs="Arial"/>
          <w:sz w:val="24"/>
          <w:szCs w:val="24"/>
        </w:rPr>
        <w:t xml:space="preserve"> tema</w:t>
      </w:r>
      <w:r w:rsidR="00882082" w:rsidRPr="008F4832">
        <w:rPr>
          <w:rFonts w:ascii="Arial" w:hAnsi="Arial" w:cs="Arial"/>
          <w:sz w:val="24"/>
          <w:szCs w:val="24"/>
        </w:rPr>
        <w:t xml:space="preserve">. </w:t>
      </w:r>
    </w:p>
    <w:p w:rsidR="0033282F" w:rsidRPr="006720BA" w:rsidRDefault="0033282F" w:rsidP="006720BA">
      <w:pPr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is2"/>
        <w:tblW w:w="5005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359"/>
        <w:gridCol w:w="11045"/>
      </w:tblGrid>
      <w:tr w:rsidR="00882082" w:rsidRPr="008F4832" w:rsidTr="00DD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882082" w:rsidRPr="00E10CD4" w:rsidRDefault="005449D0" w:rsidP="00E10CD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C</w:t>
            </w:r>
            <w:r w:rsidRPr="004C3FFD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uando una persona jurídica de derecho privado es sujeto obligado de la Ley de Trans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parencia y Acceso a Información</w:t>
            </w:r>
          </w:p>
        </w:tc>
      </w:tr>
      <w:tr w:rsidR="00586DFE" w:rsidRPr="008F4832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6DFE" w:rsidRPr="009E2A68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4988" w:rsidRDefault="00586DFE" w:rsidP="00DD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0732C9">
              <w:rPr>
                <w:rFonts w:ascii="Arial" w:eastAsia="Times New Roman" w:hAnsi="Arial" w:cs="Arial"/>
                <w:b/>
                <w:iCs/>
                <w:lang w:val="es-MX"/>
              </w:rPr>
              <w:t>Brasil</w:t>
            </w:r>
            <w:r w:rsidRPr="000732C9">
              <w:rPr>
                <w:rFonts w:ascii="Arial" w:eastAsia="Times New Roman" w:hAnsi="Arial" w:cs="Arial"/>
                <w:iCs/>
                <w:lang w:val="es-MX"/>
              </w:rPr>
              <w:t>:</w:t>
            </w:r>
            <w:r w:rsidR="00DD211F" w:rsidRPr="000732C9">
              <w:rPr>
                <w:rFonts w:ascii="Arial" w:eastAsia="Times New Roman" w:hAnsi="Arial" w:cs="Arial"/>
                <w:iCs/>
                <w:lang w:val="es-MX"/>
              </w:rPr>
              <w:t xml:space="preserve"> </w:t>
            </w:r>
          </w:p>
          <w:p w:rsidR="00364988" w:rsidRDefault="00364988" w:rsidP="00DD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586DFE" w:rsidRPr="000732C9" w:rsidRDefault="00DD211F" w:rsidP="00DD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0732C9">
              <w:rPr>
                <w:rFonts w:ascii="Arial" w:eastAsia="Times New Roman" w:hAnsi="Arial" w:cs="Arial"/>
                <w:iCs/>
                <w:lang w:val="es-MX"/>
              </w:rPr>
              <w:t xml:space="preserve">Dentro los sujetos obligados de la Ley, el Estado brasilero de manera adicional a las entidades públicas, también prevé como sujeto obligado a entidades privadas en donde se ven involucrados recursos públicos, y a aquellas que reciban estos recursos para la realización de acciones interés público. </w:t>
            </w:r>
          </w:p>
          <w:p w:rsidR="000732C9" w:rsidRPr="000732C9" w:rsidRDefault="000732C9" w:rsidP="00DD2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0732C9" w:rsidRDefault="006F2C37" w:rsidP="000732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</w:pPr>
            <w:r>
              <w:rPr>
                <w:rFonts w:ascii="Arial" w:eastAsia="Times New Roman" w:hAnsi="Arial" w:cs="Arial"/>
                <w:iCs/>
                <w:lang w:val="es-MX"/>
              </w:rPr>
              <w:t xml:space="preserve">Manifiesta que </w:t>
            </w:r>
            <w:r w:rsidR="000732C9" w:rsidRPr="000732C9">
              <w:rPr>
                <w:rFonts w:ascii="Arial" w:eastAsia="Times New Roman" w:hAnsi="Arial" w:cs="Arial"/>
                <w:iCs/>
                <w:lang w:val="es-MX"/>
              </w:rPr>
              <w:t>solo por medio de un reglamento (por medio de acto administrativo, decretos y otros) pueden delegarse a privado</w:t>
            </w:r>
            <w:r w:rsidR="00364988">
              <w:rPr>
                <w:rFonts w:ascii="Arial" w:eastAsia="Times New Roman" w:hAnsi="Arial" w:cs="Arial"/>
                <w:iCs/>
                <w:lang w:val="es-MX"/>
              </w:rPr>
              <w:t>s</w:t>
            </w:r>
            <w:r w:rsidR="000732C9" w:rsidRPr="000732C9">
              <w:rPr>
                <w:rFonts w:ascii="Arial" w:eastAsia="Times New Roman" w:hAnsi="Arial" w:cs="Arial"/>
                <w:iCs/>
                <w:lang w:val="es-MX"/>
              </w:rPr>
              <w:t xml:space="preserve"> ejercer servicios públicos, si</w:t>
            </w:r>
            <w:r w:rsidR="00364988">
              <w:rPr>
                <w:rFonts w:ascii="Arial" w:eastAsia="Times New Roman" w:hAnsi="Arial" w:cs="Arial"/>
                <w:iCs/>
                <w:lang w:val="es-MX"/>
              </w:rPr>
              <w:t>n</w:t>
            </w:r>
            <w:r w:rsidR="000732C9" w:rsidRPr="000732C9">
              <w:rPr>
                <w:rFonts w:ascii="Arial" w:eastAsia="Times New Roman" w:hAnsi="Arial" w:cs="Arial"/>
                <w:iCs/>
                <w:lang w:val="es-MX"/>
              </w:rPr>
              <w:t xml:space="preserve"> quitarle la titularidad al Estado. Se destaca la figura jurídica de </w:t>
            </w:r>
            <w:r w:rsidR="000732C9" w:rsidRPr="000732C9">
              <w:rPr>
                <w:rFonts w:ascii="Arial" w:eastAsia="Times New Roman" w:hAnsi="Arial" w:cs="Arial"/>
                <w:b/>
                <w:i/>
                <w:iCs/>
                <w:lang w:val="es-MX"/>
              </w:rPr>
              <w:t>contrato de gestión</w:t>
            </w:r>
            <w:r w:rsidR="00364988">
              <w:rPr>
                <w:rFonts w:ascii="Arial" w:hAnsi="Arial" w:cs="Arial"/>
                <w:lang w:val="es-MX"/>
              </w:rPr>
              <w:t xml:space="preserve"> sobre</w:t>
            </w:r>
            <w:r w:rsidR="000732C9" w:rsidRPr="000732C9">
              <w:rPr>
                <w:rFonts w:ascii="Arial" w:hAnsi="Arial" w:cs="Arial"/>
              </w:rPr>
              <w:t xml:space="preserve"> </w:t>
            </w:r>
            <w:r w:rsidR="000732C9" w:rsidRP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las 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que </w:t>
            </w:r>
            <w:r w:rsidR="000732C9" w:rsidRP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entidades privadas </w:t>
            </w:r>
            <w:r w:rsid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son declaradas de interés</w:t>
            </w:r>
            <w:r w:rsidR="000732C9" w:rsidRP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social y utilidad pública y así puedan recibir recursos directamente del presupuesto gubernamental, utilizando a su vez los aparatos públicos para la consecución de estos objetivos</w:t>
            </w:r>
            <w:r w:rsid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.</w:t>
            </w:r>
          </w:p>
          <w:p w:rsidR="000732C9" w:rsidRDefault="000732C9" w:rsidP="000732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</w:pPr>
          </w:p>
          <w:p w:rsidR="000732C9" w:rsidRDefault="006F2C37" w:rsidP="000732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Adicionalmente e</w:t>
            </w:r>
            <w:r w:rsid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s importante destacar cómo se prevén varias instancias para que 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personas 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jurídicas de naturaleza privada</w:t>
            </w:r>
            <w:r w:rsidR="000732C9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sean vigilados y monitoreados cuando se les ha delegado el ejercicio de un servicio p</w:t>
            </w:r>
            <w:r w:rsidR="00515A11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úblico, teniendo un control previo y final de la ejecuci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ón del contrato, incluyendo </w:t>
            </w:r>
            <w:r w:rsidR="00515A11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el poder de fiscalización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que tiene la administración 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que puede ejercer 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en cualquier momento. </w:t>
            </w:r>
          </w:p>
          <w:p w:rsidR="00515A11" w:rsidRDefault="00515A11" w:rsidP="000732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</w:pPr>
          </w:p>
          <w:p w:rsidR="00515A11" w:rsidRDefault="00515A11" w:rsidP="000732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Ahora bien, respecto de las consideraciones generales </w:t>
            </w:r>
            <w:r w:rsidR="00CB0032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sobre el tema, 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se </w:t>
            </w:r>
            <w:r w:rsidR="00CB0032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resalta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</w:t>
            </w:r>
            <w:r w:rsidR="001E05F5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la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iniciativa de generar mayor coordinación entre los entes de control que supervisan a estos entes privados, y establecer mejoras en los componentes de transparencia activa y pasiva de </w:t>
            </w:r>
            <w:r w:rsidR="00CB0032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aquellos privados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que ejerzan servicios públicos.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</w:t>
            </w:r>
            <w:r w:rsidR="001E05F5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>Además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 </w:t>
            </w:r>
            <w:r w:rsidR="001E05F5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de </w:t>
            </w:r>
            <w:r w:rsidR="00364988"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lastRenderedPageBreak/>
              <w:t xml:space="preserve">ello, es importante el interés de poder incluir nuevos sujetos obligados de la Ley en aras de dar mayor alcance al derecho de acceso a información. </w:t>
            </w:r>
            <w:r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  <w:t xml:space="preserve"> </w:t>
            </w:r>
          </w:p>
          <w:p w:rsidR="00515A11" w:rsidRPr="000732C9" w:rsidRDefault="00515A11" w:rsidP="00515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 w:eastAsia="es-ES"/>
              </w:rPr>
            </w:pPr>
          </w:p>
        </w:tc>
      </w:tr>
      <w:tr w:rsidR="00586DFE" w:rsidRPr="00DF661A" w:rsidTr="00DD3C4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C91BA4" w:rsidRPr="00DF661A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b/>
                <w:iCs/>
                <w:lang w:val="es-MX"/>
              </w:rPr>
              <w:t>Colombia</w:t>
            </w:r>
          </w:p>
          <w:p w:rsidR="00586DFE" w:rsidRPr="00DF661A" w:rsidRDefault="00364988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lang w:val="es-MX"/>
              </w:rPr>
              <w:t>-----------------------</w:t>
            </w:r>
          </w:p>
        </w:tc>
      </w:tr>
      <w:tr w:rsidR="00586DFE" w:rsidRPr="00DF661A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6DFE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b/>
                <w:iCs/>
                <w:lang w:val="es-MX"/>
              </w:rPr>
              <w:t>México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>:</w:t>
            </w:r>
          </w:p>
          <w:p w:rsidR="00CB0032" w:rsidRPr="00DF661A" w:rsidRDefault="00CB0032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B01095" w:rsidRPr="00DF661A" w:rsidRDefault="00395B11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ES"/>
              </w:rPr>
            </w:pPr>
            <w:r w:rsidRPr="00DF661A">
              <w:rPr>
                <w:rFonts w:ascii="Arial" w:eastAsia="Times New Roman" w:hAnsi="Arial" w:cs="Arial"/>
                <w:iCs/>
                <w:lang w:val="es-MX"/>
              </w:rPr>
              <w:t>Se destaca del ordenamiento jurídico</w:t>
            </w:r>
            <w:r w:rsidR="00CB0032">
              <w:rPr>
                <w:rFonts w:ascii="Arial" w:eastAsia="Times New Roman" w:hAnsi="Arial" w:cs="Arial"/>
                <w:iCs/>
                <w:lang w:val="es-MX"/>
              </w:rPr>
              <w:t xml:space="preserve"> mexicano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 la existencia de un lineamiento particular </w:t>
            </w:r>
            <w:r w:rsidRPr="00DF661A">
              <w:rPr>
                <w:rFonts w:ascii="Arial" w:eastAsia="Times New Roman" w:hAnsi="Arial" w:cs="Arial"/>
                <w:lang w:val="es-MX" w:eastAsia="es-ES"/>
              </w:rPr>
              <w:t xml:space="preserve">para el cumplimiento de las obligaciones de transparencia y acceso a la información a cargo de </w:t>
            </w:r>
            <w:r w:rsidR="00B01095" w:rsidRPr="00DF661A">
              <w:rPr>
                <w:rFonts w:ascii="Arial" w:eastAsia="Times New Roman" w:hAnsi="Arial" w:cs="Arial"/>
                <w:lang w:val="es-MX" w:eastAsia="es-ES"/>
              </w:rPr>
              <w:t>las personas físicas y jurídicas</w:t>
            </w:r>
            <w:r w:rsidR="00CB0032">
              <w:rPr>
                <w:rFonts w:ascii="Arial" w:eastAsia="Times New Roman" w:hAnsi="Arial" w:cs="Arial"/>
                <w:lang w:val="es-MX" w:eastAsia="es-ES"/>
              </w:rPr>
              <w:t xml:space="preserve"> (incluyendo a aquellas</w:t>
            </w:r>
            <w:r w:rsidR="00CB0032" w:rsidRPr="00DF661A">
              <w:rPr>
                <w:rFonts w:ascii="Arial" w:eastAsia="Times New Roman" w:hAnsi="Arial" w:cs="Arial"/>
                <w:lang w:val="es-MX" w:eastAsia="es-ES"/>
              </w:rPr>
              <w:t xml:space="preserve"> que administren recursos públicos</w:t>
            </w:r>
            <w:r w:rsidR="00CB0032">
              <w:rPr>
                <w:rFonts w:ascii="Arial" w:eastAsia="Times New Roman" w:hAnsi="Arial" w:cs="Arial"/>
                <w:lang w:val="es-MX" w:eastAsia="es-ES"/>
              </w:rPr>
              <w:t>)</w:t>
            </w:r>
            <w:r w:rsidR="00B01095" w:rsidRPr="00DF661A">
              <w:rPr>
                <w:rFonts w:ascii="Arial" w:eastAsia="Times New Roman" w:hAnsi="Arial" w:cs="Arial"/>
                <w:lang w:val="es-MX" w:eastAsia="es-ES"/>
              </w:rPr>
              <w:t>,</w:t>
            </w:r>
            <w:r w:rsidR="00CB0032">
              <w:rPr>
                <w:rFonts w:ascii="Arial" w:eastAsia="Times New Roman" w:hAnsi="Arial" w:cs="Arial"/>
                <w:lang w:val="es-MX" w:eastAsia="es-ES"/>
              </w:rPr>
              <w:t xml:space="preserve"> el cual también emana de la Ley de Transparencia.</w:t>
            </w:r>
            <w:r w:rsidR="001E05F5">
              <w:rPr>
                <w:rFonts w:ascii="Arial" w:eastAsia="Times New Roman" w:hAnsi="Arial" w:cs="Arial"/>
                <w:lang w:val="es-MX" w:eastAsia="es-ES"/>
              </w:rPr>
              <w:t xml:space="preserve"> En la misma Ley</w:t>
            </w:r>
            <w:r w:rsidR="00B01095" w:rsidRPr="00DF661A">
              <w:rPr>
                <w:rFonts w:ascii="Arial" w:eastAsia="Times New Roman" w:hAnsi="Arial" w:cs="Arial"/>
                <w:lang w:val="es-MX" w:eastAsia="es-ES"/>
              </w:rPr>
              <w:t xml:space="preserve"> </w:t>
            </w:r>
            <w:r w:rsidR="00693E76">
              <w:rPr>
                <w:rFonts w:ascii="Arial" w:eastAsia="Times New Roman" w:hAnsi="Arial" w:cs="Arial"/>
                <w:lang w:val="es-MX" w:eastAsia="es-ES"/>
              </w:rPr>
              <w:t xml:space="preserve">se </w:t>
            </w:r>
            <w:r w:rsidR="00B01095" w:rsidRPr="00DF661A">
              <w:rPr>
                <w:rFonts w:ascii="Arial" w:eastAsia="Times New Roman" w:hAnsi="Arial" w:cs="Arial"/>
                <w:lang w:val="es-MX" w:eastAsia="es-ES"/>
              </w:rPr>
              <w:t xml:space="preserve">prevé los mecanismos y entes de supervisión de personas privadas a las que se les asignan recursos públicos, así como obligaciones específicas que surgen de esta. </w:t>
            </w:r>
          </w:p>
          <w:p w:rsidR="00C91BA4" w:rsidRPr="00DF661A" w:rsidRDefault="00C91BA4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ES"/>
              </w:rPr>
            </w:pPr>
          </w:p>
          <w:p w:rsidR="00CB0032" w:rsidRDefault="00C91BA4" w:rsidP="00176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ES"/>
              </w:rPr>
            </w:pPr>
            <w:r w:rsidRPr="00DF661A">
              <w:rPr>
                <w:rFonts w:ascii="Arial" w:eastAsia="Times New Roman" w:hAnsi="Arial" w:cs="Arial"/>
                <w:lang w:val="es-MX" w:eastAsia="es-ES"/>
              </w:rPr>
              <w:t xml:space="preserve">En el posicionamiento de la entidad, </w:t>
            </w:r>
            <w:r w:rsidR="00CB0032" w:rsidRPr="00E46CF9">
              <w:rPr>
                <w:rFonts w:ascii="Arial" w:eastAsia="Times New Roman" w:hAnsi="Arial" w:cs="Arial"/>
                <w:highlight w:val="yellow"/>
                <w:lang w:val="es-MX" w:eastAsia="es-ES"/>
              </w:rPr>
              <w:t>se ha de destacar la incógnita de determinar cuál es el procedimiento para acceder a la información de sujetos que presten funciones públicas</w:t>
            </w:r>
            <w:r w:rsidR="00CB0032">
              <w:rPr>
                <w:rFonts w:ascii="Arial" w:eastAsia="Times New Roman" w:hAnsi="Arial" w:cs="Arial"/>
                <w:lang w:val="es-MX" w:eastAsia="es-ES"/>
              </w:rPr>
              <w:t>. Esto es importante</w:t>
            </w:r>
            <w:r w:rsidR="00693E76">
              <w:rPr>
                <w:rFonts w:ascii="Arial" w:eastAsia="Times New Roman" w:hAnsi="Arial" w:cs="Arial"/>
                <w:lang w:val="es-MX" w:eastAsia="es-ES"/>
              </w:rPr>
              <w:t xml:space="preserve"> para la discusión que surge en la RTA</w:t>
            </w:r>
            <w:r w:rsidR="00CB0032">
              <w:rPr>
                <w:rFonts w:ascii="Arial" w:eastAsia="Times New Roman" w:hAnsi="Arial" w:cs="Arial"/>
                <w:lang w:val="es-MX" w:eastAsia="es-ES"/>
              </w:rPr>
              <w:t xml:space="preserve">, ya que </w:t>
            </w:r>
            <w:r w:rsidR="00693E76">
              <w:rPr>
                <w:rFonts w:ascii="Arial" w:eastAsia="Times New Roman" w:hAnsi="Arial" w:cs="Arial"/>
                <w:lang w:val="es-MX" w:eastAsia="es-ES"/>
              </w:rPr>
              <w:t>con esto se darían límites y alcances de las normas de transparencia para este tipo de sujetos obligados.</w:t>
            </w:r>
            <w:r w:rsidR="00CB0032">
              <w:rPr>
                <w:rFonts w:ascii="Arial" w:eastAsia="Times New Roman" w:hAnsi="Arial" w:cs="Arial"/>
                <w:lang w:val="es-MX" w:eastAsia="es-ES"/>
              </w:rPr>
              <w:t xml:space="preserve"> </w:t>
            </w:r>
          </w:p>
          <w:p w:rsidR="00CB0032" w:rsidRDefault="00CB0032" w:rsidP="00176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ES"/>
              </w:rPr>
            </w:pPr>
          </w:p>
          <w:p w:rsidR="00C91BA4" w:rsidRPr="00CB0032" w:rsidRDefault="00CB0032" w:rsidP="00176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ES"/>
              </w:rPr>
            </w:pPr>
            <w:r>
              <w:rPr>
                <w:rFonts w:ascii="Arial" w:eastAsia="Times New Roman" w:hAnsi="Arial" w:cs="Arial"/>
                <w:lang w:val="es-MX" w:eastAsia="es-ES"/>
              </w:rPr>
              <w:t xml:space="preserve">Por otro lado, </w:t>
            </w:r>
            <w:r w:rsidR="00C91BA4" w:rsidRPr="00DF661A">
              <w:rPr>
                <w:rFonts w:ascii="Arial" w:eastAsia="Times New Roman" w:hAnsi="Arial" w:cs="Arial"/>
                <w:lang w:val="es-MX" w:eastAsia="es-ES"/>
              </w:rPr>
              <w:t xml:space="preserve">frente a personas </w:t>
            </w:r>
            <w:r w:rsidR="00C91BA4" w:rsidRPr="00DF661A">
              <w:rPr>
                <w:rFonts w:ascii="Arial" w:eastAsia="Times New Roman" w:hAnsi="Arial" w:cs="Arial"/>
                <w:iCs/>
              </w:rPr>
              <w:t xml:space="preserve">físicas o morales que reciban o ejerzan recursos públicos, </w:t>
            </w:r>
            <w:r>
              <w:rPr>
                <w:rFonts w:ascii="Arial" w:eastAsia="Times New Roman" w:hAnsi="Arial" w:cs="Arial"/>
                <w:iCs/>
              </w:rPr>
              <w:t>el INAI hace</w:t>
            </w:r>
            <w:r w:rsidR="00C91BA4" w:rsidRPr="00DF661A">
              <w:rPr>
                <w:rFonts w:ascii="Arial" w:eastAsia="Times New Roman" w:hAnsi="Arial" w:cs="Arial"/>
                <w:iCs/>
              </w:rPr>
              <w:t xml:space="preserve"> un análisis de la dificultad que surge </w:t>
            </w:r>
            <w:r>
              <w:rPr>
                <w:rFonts w:ascii="Arial" w:eastAsia="Times New Roman" w:hAnsi="Arial" w:cs="Arial"/>
                <w:iCs/>
              </w:rPr>
              <w:t>de la interpretación y e</w:t>
            </w:r>
            <w:r w:rsidR="00C91BA4" w:rsidRPr="00DF661A">
              <w:rPr>
                <w:rFonts w:ascii="Arial" w:eastAsia="Times New Roman" w:hAnsi="Arial" w:cs="Arial"/>
                <w:iCs/>
              </w:rPr>
              <w:t xml:space="preserve">l alcance de la norma, entendiendo que </w:t>
            </w:r>
            <w:r w:rsidR="00176531" w:rsidRPr="00DF661A">
              <w:rPr>
                <w:rFonts w:ascii="Arial" w:eastAsia="Times New Roman" w:hAnsi="Arial" w:cs="Arial"/>
                <w:iCs/>
              </w:rPr>
              <w:t>el “</w:t>
            </w:r>
            <w:r w:rsidR="00C91BA4" w:rsidRPr="00DF661A">
              <w:rPr>
                <w:rFonts w:ascii="Arial" w:eastAsia="Times New Roman" w:hAnsi="Arial" w:cs="Arial"/>
                <w:iCs/>
              </w:rPr>
              <w:t xml:space="preserve">hecho de que una persona reciba recursos públicos no hace </w:t>
            </w:r>
            <w:r w:rsidR="00C91BA4" w:rsidRPr="00DF661A">
              <w:rPr>
                <w:rFonts w:ascii="Arial" w:eastAsia="Times New Roman" w:hAnsi="Arial" w:cs="Arial"/>
                <w:i/>
                <w:iCs/>
              </w:rPr>
              <w:t>per se</w:t>
            </w:r>
            <w:r w:rsidR="00C91BA4" w:rsidRPr="00DF661A">
              <w:rPr>
                <w:rFonts w:ascii="Arial" w:eastAsia="Times New Roman" w:hAnsi="Arial" w:cs="Arial"/>
                <w:iCs/>
              </w:rPr>
              <w:t xml:space="preserve"> que su actividad se convierta en una actividad pública</w:t>
            </w:r>
            <w:r w:rsidR="00176531" w:rsidRPr="00DF661A">
              <w:rPr>
                <w:rFonts w:ascii="Arial" w:eastAsia="Times New Roman" w:hAnsi="Arial" w:cs="Arial"/>
                <w:iCs/>
              </w:rPr>
              <w:t xml:space="preserve">”. Sobre esto, se propone una solución practica la cual hay que destacarla cual se es la siguiente: </w:t>
            </w:r>
            <w:r w:rsidR="00176531" w:rsidRPr="00DF661A">
              <w:rPr>
                <w:rFonts w:ascii="Arial" w:eastAsia="Times New Roman" w:hAnsi="Arial" w:cs="Arial"/>
                <w:i/>
                <w:iCs/>
              </w:rPr>
              <w:t>“</w:t>
            </w:r>
            <w:r w:rsidR="00176531" w:rsidRPr="00D57B4D">
              <w:rPr>
                <w:rFonts w:ascii="Arial" w:eastAsia="Times New Roman" w:hAnsi="Arial" w:cs="Arial"/>
                <w:i/>
                <w:iCs/>
                <w:highlight w:val="yellow"/>
              </w:rPr>
              <w:t>la obligación de rendir cuentas respecto de la entrega de los recursos públicos a particulares corresponde a la autoridad que los otorga, y que la legislación secundaria debe precisar la manera en que esto se concreta</w:t>
            </w:r>
            <w:r w:rsidR="00176531" w:rsidRPr="00D57B4D">
              <w:rPr>
                <w:rFonts w:ascii="Arial" w:eastAsia="Times New Roman" w:hAnsi="Arial" w:cs="Arial"/>
                <w:iCs/>
                <w:highlight w:val="yellow"/>
              </w:rPr>
              <w:t>.”</w:t>
            </w:r>
          </w:p>
          <w:p w:rsidR="00176531" w:rsidRPr="00DF661A" w:rsidRDefault="00176531" w:rsidP="00176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</w:p>
          <w:p w:rsidR="00176531" w:rsidRPr="00DF661A" w:rsidRDefault="00176531" w:rsidP="00CB0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ES"/>
              </w:rPr>
            </w:pPr>
            <w:r w:rsidRPr="00DF661A">
              <w:rPr>
                <w:rFonts w:ascii="Arial" w:eastAsia="Times New Roman" w:hAnsi="Arial" w:cs="Arial"/>
                <w:iCs/>
              </w:rPr>
              <w:t xml:space="preserve">En cuanto a su posicionamiento, se hace un aporte importante a la discusión </w:t>
            </w:r>
            <w:r w:rsidR="00CB0032">
              <w:rPr>
                <w:rFonts w:ascii="Arial" w:eastAsia="Times New Roman" w:hAnsi="Arial" w:cs="Arial"/>
                <w:iCs/>
              </w:rPr>
              <w:t>f</w:t>
            </w:r>
            <w:r w:rsidRPr="00DF661A">
              <w:rPr>
                <w:rFonts w:ascii="Arial" w:eastAsia="Times New Roman" w:hAnsi="Arial" w:cs="Arial"/>
                <w:iCs/>
              </w:rPr>
              <w:t>rente a</w:t>
            </w:r>
            <w:r w:rsidR="00CB0032">
              <w:rPr>
                <w:rFonts w:ascii="Arial" w:eastAsia="Times New Roman" w:hAnsi="Arial" w:cs="Arial"/>
                <w:iCs/>
              </w:rPr>
              <w:t xml:space="preserve"> la rendición de cuentas, adoptándose el concepto </w:t>
            </w:r>
            <w:r w:rsidRPr="00DF661A">
              <w:rPr>
                <w:rFonts w:ascii="Arial" w:eastAsia="Times New Roman" w:hAnsi="Arial" w:cs="Arial"/>
                <w:iCs/>
              </w:rPr>
              <w:t xml:space="preserve">de Andreas Schedler, en donde i) existe una obligación de informar y justificar sus acciones; ii) la capacidad de sanción que se puede dar en caso de que no se acate lo establecido en la ley relativo a sus funciones públicas. </w:t>
            </w:r>
          </w:p>
        </w:tc>
      </w:tr>
      <w:tr w:rsidR="00586DFE" w:rsidRPr="00DF661A" w:rsidTr="00DD3C49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586DFE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b/>
                <w:iCs/>
                <w:lang w:val="es-MX"/>
              </w:rPr>
              <w:t>Panamá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>:</w:t>
            </w:r>
            <w:r w:rsidR="00DF661A">
              <w:rPr>
                <w:rFonts w:ascii="Arial" w:eastAsia="Times New Roman" w:hAnsi="Arial" w:cs="Arial"/>
                <w:iCs/>
                <w:lang w:val="es-MX"/>
              </w:rPr>
              <w:t xml:space="preserve"> </w:t>
            </w:r>
          </w:p>
          <w:p w:rsidR="003D1B7E" w:rsidRDefault="003D1B7E" w:rsidP="0069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F810B2" w:rsidRPr="003D1B7E" w:rsidRDefault="00DF661A" w:rsidP="0069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>
              <w:rPr>
                <w:rFonts w:ascii="Arial" w:eastAsia="Times New Roman" w:hAnsi="Arial" w:cs="Arial"/>
                <w:iCs/>
                <w:lang w:val="es-MX"/>
              </w:rPr>
              <w:t>Dentro de los sujetos obligados de la legislación de acceso a informaci</w:t>
            </w:r>
            <w:r w:rsidR="003017B8">
              <w:rPr>
                <w:rFonts w:ascii="Arial" w:eastAsia="Times New Roman" w:hAnsi="Arial" w:cs="Arial"/>
                <w:iCs/>
                <w:lang w:val="es-MX"/>
              </w:rPr>
              <w:t>ón, el Estado panameño presenta gran desarrollo en regulación en las empresas de capital mix</w:t>
            </w:r>
            <w:r w:rsidR="00775956">
              <w:rPr>
                <w:rFonts w:ascii="Arial" w:eastAsia="Times New Roman" w:hAnsi="Arial" w:cs="Arial"/>
                <w:iCs/>
                <w:lang w:val="es-MX"/>
              </w:rPr>
              <w:t>to</w:t>
            </w:r>
            <w:r w:rsidR="0065524F">
              <w:rPr>
                <w:rFonts w:ascii="Arial" w:eastAsia="Times New Roman" w:hAnsi="Arial" w:cs="Arial"/>
                <w:iCs/>
                <w:lang w:val="es-MX"/>
              </w:rPr>
              <w:t xml:space="preserve"> las cuales en términos de la Ley de Transparencia</w:t>
            </w:r>
            <w:r w:rsidR="006920B8">
              <w:rPr>
                <w:rFonts w:ascii="Arial" w:eastAsia="Times New Roman" w:hAnsi="Arial" w:cs="Arial"/>
                <w:iCs/>
                <w:lang w:val="es-MX"/>
              </w:rPr>
              <w:t>,</w:t>
            </w:r>
            <w:r w:rsidR="0065524F">
              <w:rPr>
                <w:rFonts w:ascii="Arial" w:eastAsia="Times New Roman" w:hAnsi="Arial" w:cs="Arial"/>
                <w:iCs/>
                <w:lang w:val="es-MX"/>
              </w:rPr>
              <w:t xml:space="preserve"> </w:t>
            </w:r>
            <w:r w:rsidR="0065524F" w:rsidRPr="003D1B7E">
              <w:rPr>
                <w:rFonts w:ascii="Arial" w:eastAsia="Times New Roman" w:hAnsi="Arial" w:cs="Arial"/>
                <w:iCs/>
                <w:lang w:val="es-MX"/>
              </w:rPr>
              <w:t>son las únicas personas jurídicas de derecho privado obligadas a esta</w:t>
            </w:r>
            <w:r w:rsidR="006920B8" w:rsidRPr="003D1B7E">
              <w:rPr>
                <w:rFonts w:ascii="Arial" w:eastAsia="Times New Roman" w:hAnsi="Arial" w:cs="Arial"/>
                <w:iCs/>
                <w:lang w:val="es-MX"/>
              </w:rPr>
              <w:t xml:space="preserve">, pese a reconocer la obligatoriedad  </w:t>
            </w:r>
            <w:r w:rsidR="006920B8" w:rsidRPr="003D1B7E">
              <w:rPr>
                <w:rFonts w:ascii="Arial" w:eastAsia="Times New Roman" w:hAnsi="Arial" w:cs="Arial"/>
                <w:lang w:val="es-MX" w:eastAsia="es-ES"/>
              </w:rPr>
              <w:t>de proporcionar la información que les sea solicitada por los usuarios del servicio</w:t>
            </w:r>
            <w:r w:rsidR="006920B8" w:rsidRPr="003D1B7E">
              <w:rPr>
                <w:rFonts w:ascii="Arial" w:eastAsia="Times New Roman" w:hAnsi="Arial" w:cs="Arial"/>
                <w:iCs/>
                <w:lang w:val="es-MX"/>
              </w:rPr>
              <w:t xml:space="preserve"> a </w:t>
            </w:r>
            <w:r w:rsidR="006920B8" w:rsidRPr="003D1B7E">
              <w:rPr>
                <w:rFonts w:ascii="Arial" w:eastAsia="Times New Roman" w:hAnsi="Arial" w:cs="Arial"/>
                <w:lang w:val="es-MX" w:eastAsia="es-ES"/>
              </w:rPr>
              <w:t>empresas privadas que suministren servicios públicos con carácter de exclusividad.</w:t>
            </w:r>
            <w:r w:rsidR="006920B8" w:rsidRPr="003D1B7E">
              <w:rPr>
                <w:rFonts w:ascii="Arial" w:eastAsia="Times New Roman" w:hAnsi="Arial" w:cs="Arial"/>
                <w:iCs/>
                <w:lang w:val="es-MX"/>
              </w:rPr>
              <w:t xml:space="preserve"> </w:t>
            </w:r>
            <w:r w:rsidR="00F810B2" w:rsidRPr="003D1B7E">
              <w:rPr>
                <w:rFonts w:ascii="Arial" w:eastAsia="Times New Roman" w:hAnsi="Arial" w:cs="Arial"/>
                <w:iCs/>
                <w:lang w:val="es-MX"/>
              </w:rPr>
              <w:t xml:space="preserve">No obstante, no hay claridad sobre el posicionamiento del Estado. </w:t>
            </w:r>
          </w:p>
          <w:p w:rsidR="00F810B2" w:rsidRPr="0065524F" w:rsidRDefault="00F810B2" w:rsidP="0069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86DFE" w:rsidRPr="00DF661A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6DFE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b/>
                <w:iCs/>
                <w:lang w:val="es-MX"/>
              </w:rPr>
              <w:t>Perú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>:</w:t>
            </w:r>
          </w:p>
          <w:p w:rsidR="00F810B2" w:rsidRPr="00DF661A" w:rsidRDefault="00F810B2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C35C08" w:rsidRPr="00DF661A" w:rsidRDefault="00C35C08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En el ordenamiento jurídico peruano se habilita a las personas jurídicas privadas prestar servicio públicos, </w:t>
            </w:r>
            <w:r w:rsidR="0021594D" w:rsidRPr="00DF661A">
              <w:rPr>
                <w:rFonts w:ascii="Arial" w:eastAsia="Times New Roman" w:hAnsi="Arial" w:cs="Arial"/>
                <w:iCs/>
                <w:lang w:val="es-MX"/>
              </w:rPr>
              <w:t xml:space="preserve">los cuales son las actividades económicas que constituyen prestaciones esenciales para la colectividad, como los de transporte público; notarios públicos; asociaciones mutuales y las Universidades Privadas. </w:t>
            </w:r>
          </w:p>
          <w:p w:rsidR="0021594D" w:rsidRPr="00DF661A" w:rsidRDefault="0021594D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21594D" w:rsidRPr="00DF661A" w:rsidRDefault="00F810B2" w:rsidP="002159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  <w:lang w:val="es-MX"/>
              </w:rPr>
              <w:t xml:space="preserve">Se destaca </w:t>
            </w:r>
            <w:r w:rsidR="0021594D" w:rsidRPr="00DF661A">
              <w:rPr>
                <w:rFonts w:ascii="Arial" w:eastAsia="Times New Roman" w:hAnsi="Arial" w:cs="Arial"/>
                <w:iCs/>
                <w:lang w:val="es-MX"/>
              </w:rPr>
              <w:t xml:space="preserve">que </w:t>
            </w:r>
            <w:r>
              <w:rPr>
                <w:rFonts w:ascii="Arial" w:eastAsia="Times New Roman" w:hAnsi="Arial" w:cs="Arial"/>
                <w:iCs/>
                <w:lang w:val="es-MX"/>
              </w:rPr>
              <w:t xml:space="preserve">pese a que </w:t>
            </w:r>
            <w:r w:rsidR="0021594D" w:rsidRPr="00DF661A">
              <w:rPr>
                <w:rFonts w:ascii="Arial" w:eastAsia="Times New Roman" w:hAnsi="Arial" w:cs="Arial"/>
                <w:iCs/>
                <w:lang w:val="es-MX"/>
              </w:rPr>
              <w:t>las personas jurídicas de derecho privado no están facultados para</w:t>
            </w:r>
            <w:r>
              <w:rPr>
                <w:rFonts w:ascii="Arial" w:eastAsia="Times New Roman" w:hAnsi="Arial" w:cs="Arial"/>
                <w:iCs/>
                <w:lang w:val="es-MX"/>
              </w:rPr>
              <w:t xml:space="preserve"> financiar programas sociales, éstas</w:t>
            </w:r>
            <w:r w:rsidR="0021594D" w:rsidRPr="00DF661A">
              <w:rPr>
                <w:rFonts w:ascii="Arial" w:eastAsia="Times New Roman" w:hAnsi="Arial" w:cs="Arial"/>
                <w:iCs/>
                <w:lang w:val="es-MX"/>
              </w:rPr>
              <w:t xml:space="preserve"> pueden administrar recursos públicos por medio de </w:t>
            </w:r>
            <w:r w:rsidR="0021594D" w:rsidRPr="00DF661A">
              <w:rPr>
                <w:rFonts w:ascii="Arial" w:eastAsia="Times New Roman" w:hAnsi="Arial" w:cs="Arial"/>
                <w:i/>
                <w:iCs/>
                <w:lang w:val="es-MX"/>
              </w:rPr>
              <w:t xml:space="preserve">Asociaciones Público Privadas, </w:t>
            </w:r>
            <w:r>
              <w:rPr>
                <w:rFonts w:ascii="Arial" w:eastAsia="Times New Roman" w:hAnsi="Arial" w:cs="Arial"/>
                <w:iCs/>
                <w:lang w:val="es-MX"/>
              </w:rPr>
              <w:t xml:space="preserve">posibilitando </w:t>
            </w:r>
            <w:r w:rsidR="0021594D" w:rsidRPr="00DF661A">
              <w:rPr>
                <w:rFonts w:ascii="Arial" w:eastAsia="Times New Roman" w:hAnsi="Arial" w:cs="Arial"/>
                <w:iCs/>
                <w:lang w:val="es-MX"/>
              </w:rPr>
              <w:t xml:space="preserve">participación de la inversión privada </w:t>
            </w:r>
            <w:r w:rsidR="0021594D" w:rsidRPr="00DF661A">
              <w:rPr>
                <w:rFonts w:ascii="Arial" w:hAnsi="Arial" w:cs="Arial"/>
              </w:rPr>
              <w:t xml:space="preserve">experiencia, conocimientos, equipos, tecnología y se distribuyen riesgos y recursos, preferentemente privados, entre otros. Frente al monitoreo y vigilancia de personas jurídicas privadas, es importante resaltar como en la </w:t>
            </w:r>
            <w:r w:rsidR="00C242F6" w:rsidRPr="00DF661A">
              <w:rPr>
                <w:rFonts w:ascii="Arial" w:hAnsi="Arial" w:cs="Arial"/>
              </w:rPr>
              <w:t xml:space="preserve">legislación prevé la existencia de mecanismos que permitan el control por parte de estos. </w:t>
            </w:r>
          </w:p>
          <w:p w:rsidR="00C242F6" w:rsidRPr="00DF661A" w:rsidRDefault="00C242F6" w:rsidP="002159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242F6" w:rsidRPr="00DF661A" w:rsidRDefault="00C242F6" w:rsidP="002159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661A">
              <w:rPr>
                <w:rFonts w:ascii="Arial" w:hAnsi="Arial" w:cs="Arial"/>
              </w:rPr>
              <w:t xml:space="preserve">La iniciativa que actualmente se están gestando en el Estado frente a que las personas jurídicas de derecho privado presenten informes trimestrales de la ejecución física de obras o servicios, evidencian un gran avance en materia de transparencia en contratación pública. </w:t>
            </w:r>
          </w:p>
          <w:p w:rsidR="00C242F6" w:rsidRPr="00DF661A" w:rsidRDefault="00C242F6" w:rsidP="002159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242F6" w:rsidRPr="00DF661A" w:rsidRDefault="00C242F6" w:rsidP="003D1B7E">
            <w:pPr>
              <w:pStyle w:val="Sangra2detindependiente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1A">
              <w:rPr>
                <w:rFonts w:ascii="Arial" w:hAnsi="Arial" w:cs="Arial"/>
                <w:sz w:val="22"/>
                <w:szCs w:val="22"/>
              </w:rPr>
              <w:t xml:space="preserve">En cuanto </w:t>
            </w:r>
            <w:r w:rsidR="003D1B7E">
              <w:rPr>
                <w:rFonts w:ascii="Arial" w:hAnsi="Arial" w:cs="Arial"/>
                <w:sz w:val="22"/>
                <w:szCs w:val="22"/>
              </w:rPr>
              <w:t>al posicionamiento de</w:t>
            </w:r>
            <w:r w:rsidRPr="00DF661A">
              <w:rPr>
                <w:rFonts w:ascii="Arial" w:hAnsi="Arial" w:cs="Arial"/>
                <w:sz w:val="22"/>
                <w:szCs w:val="22"/>
              </w:rPr>
              <w:t xml:space="preserve">l tema, </w:t>
            </w:r>
            <w:r w:rsidR="00F810B2">
              <w:rPr>
                <w:rFonts w:ascii="Arial" w:hAnsi="Arial" w:cs="Arial"/>
                <w:sz w:val="22"/>
                <w:szCs w:val="22"/>
              </w:rPr>
              <w:t>se resalta</w:t>
            </w:r>
            <w:r w:rsidRPr="00DF661A">
              <w:rPr>
                <w:rFonts w:ascii="Arial" w:hAnsi="Arial" w:cs="Arial"/>
                <w:sz w:val="22"/>
                <w:szCs w:val="22"/>
              </w:rPr>
              <w:t xml:space="preserve"> cómo el Estado peruano actualmente da prioridad a la transparencia en la información que produzcan o </w:t>
            </w:r>
            <w:r w:rsidR="005C295E" w:rsidRPr="00DF661A">
              <w:rPr>
                <w:rFonts w:ascii="Arial" w:hAnsi="Arial" w:cs="Arial"/>
                <w:sz w:val="22"/>
                <w:szCs w:val="22"/>
              </w:rPr>
              <w:t>posean</w:t>
            </w:r>
            <w:r w:rsidRPr="00DF661A">
              <w:rPr>
                <w:rFonts w:ascii="Arial" w:hAnsi="Arial" w:cs="Arial"/>
                <w:sz w:val="22"/>
                <w:szCs w:val="22"/>
              </w:rPr>
              <w:t xml:space="preserve"> privados</w:t>
            </w:r>
            <w:r w:rsidR="005C295E" w:rsidRPr="00DF661A">
              <w:rPr>
                <w:rFonts w:ascii="Arial" w:hAnsi="Arial" w:cs="Arial"/>
                <w:sz w:val="22"/>
                <w:szCs w:val="22"/>
              </w:rPr>
              <w:t xml:space="preserve"> que briden servicios públicos, ejerzan funciones administrativas o que realicen disposiciones de fondos </w:t>
            </w:r>
            <w:r w:rsidR="00F810B2">
              <w:rPr>
                <w:rFonts w:ascii="Arial" w:hAnsi="Arial" w:cs="Arial"/>
                <w:iCs/>
                <w:sz w:val="22"/>
                <w:szCs w:val="22"/>
              </w:rPr>
              <w:t>públicos,</w:t>
            </w:r>
            <w:r w:rsidR="005C295E" w:rsidRPr="00DF661A">
              <w:rPr>
                <w:rFonts w:ascii="Arial" w:hAnsi="Arial" w:cs="Arial"/>
                <w:iCs/>
                <w:sz w:val="22"/>
                <w:szCs w:val="22"/>
              </w:rPr>
              <w:t xml:space="preserve"> sobre todo</w:t>
            </w:r>
            <w:r w:rsidR="003D1B7E">
              <w:rPr>
                <w:rFonts w:ascii="Arial" w:hAnsi="Arial" w:cs="Arial"/>
                <w:iCs/>
                <w:sz w:val="22"/>
                <w:szCs w:val="22"/>
              </w:rPr>
              <w:t xml:space="preserve"> en</w:t>
            </w:r>
            <w:r w:rsidR="005C295E" w:rsidRPr="00DF661A">
              <w:rPr>
                <w:rFonts w:ascii="Arial" w:hAnsi="Arial" w:cs="Arial"/>
                <w:iCs/>
                <w:sz w:val="22"/>
                <w:szCs w:val="22"/>
              </w:rPr>
              <w:t xml:space="preserve"> lo que tiene que ve</w:t>
            </w:r>
            <w:r w:rsidR="003D1B7E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5C295E" w:rsidRPr="00DF661A">
              <w:rPr>
                <w:rFonts w:ascii="Arial" w:hAnsi="Arial" w:cs="Arial"/>
                <w:iCs/>
                <w:sz w:val="22"/>
                <w:szCs w:val="22"/>
              </w:rPr>
              <w:t xml:space="preserve"> con </w:t>
            </w:r>
            <w:r w:rsidR="005C295E" w:rsidRPr="00DF661A">
              <w:rPr>
                <w:rFonts w:ascii="Arial" w:hAnsi="Arial" w:cs="Arial"/>
                <w:color w:val="000000" w:themeColor="text1"/>
                <w:sz w:val="22"/>
                <w:szCs w:val="22"/>
              </w:rPr>
              <w:t>la ejecución física de obras o servicios relacionados con proyectos de inversión pública.</w:t>
            </w:r>
          </w:p>
        </w:tc>
      </w:tr>
      <w:tr w:rsidR="00586DFE" w:rsidRPr="00DF661A" w:rsidTr="00DD3C4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586DFE" w:rsidRPr="00DF661A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b/>
                <w:iCs/>
                <w:lang w:val="es-MX"/>
              </w:rPr>
              <w:t>Uruguay:</w:t>
            </w:r>
            <w:r w:rsidR="00BA2264" w:rsidRPr="00DF661A">
              <w:rPr>
                <w:rFonts w:ascii="Arial" w:eastAsia="Times New Roman" w:hAnsi="Arial" w:cs="Arial"/>
                <w:b/>
                <w:iCs/>
                <w:lang w:val="es-MX"/>
              </w:rPr>
              <w:t xml:space="preserve"> </w:t>
            </w:r>
          </w:p>
          <w:p w:rsidR="00BA2264" w:rsidRPr="00DF661A" w:rsidRDefault="00BA2264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CD4A8F" w:rsidRPr="00DF661A" w:rsidRDefault="00F37829" w:rsidP="00DF66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En el ordenamiento jurídico </w:t>
            </w:r>
            <w:r w:rsidR="00F810B2">
              <w:rPr>
                <w:rFonts w:ascii="Arial" w:eastAsia="Times New Roman" w:hAnsi="Arial" w:cs="Arial"/>
                <w:iCs/>
                <w:lang w:val="es-MX"/>
              </w:rPr>
              <w:t>uruguayo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 se deja un amplio margen de sujetos obligados de la Ley de Transparencia, dejando </w:t>
            </w:r>
            <w:r w:rsidR="00CD4A8F" w:rsidRPr="00DF661A">
              <w:rPr>
                <w:rFonts w:ascii="Arial" w:eastAsia="Times New Roman" w:hAnsi="Arial" w:cs="Arial"/>
                <w:iCs/>
                <w:lang w:val="es-MX"/>
              </w:rPr>
              <w:t xml:space="preserve">claro que </w:t>
            </w:r>
            <w:r w:rsidR="00F810B2">
              <w:rPr>
                <w:rFonts w:ascii="Arial" w:eastAsia="Times New Roman" w:hAnsi="Arial" w:cs="Arial"/>
                <w:iCs/>
                <w:lang w:val="es-MX"/>
              </w:rPr>
              <w:t>organismos no estatales debe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n </w:t>
            </w:r>
            <w:r w:rsidR="00F810B2">
              <w:rPr>
                <w:rFonts w:ascii="Arial" w:eastAsia="Times New Roman" w:hAnsi="Arial" w:cs="Arial"/>
                <w:iCs/>
                <w:lang w:val="es-MX"/>
              </w:rPr>
              <w:t xml:space="preserve">cumplir con ella.  Respecto, al monitoreo </w:t>
            </w:r>
            <w:r w:rsidR="00DF661A" w:rsidRPr="00DF661A">
              <w:rPr>
                <w:rFonts w:ascii="Arial" w:eastAsia="Times New Roman" w:hAnsi="Arial" w:cs="Arial"/>
                <w:iCs/>
                <w:lang w:val="es-MX"/>
              </w:rPr>
              <w:t>y vigilan</w:t>
            </w:r>
            <w:r w:rsidR="00F810B2">
              <w:rPr>
                <w:rFonts w:ascii="Arial" w:eastAsia="Times New Roman" w:hAnsi="Arial" w:cs="Arial"/>
                <w:iCs/>
                <w:lang w:val="es-MX"/>
              </w:rPr>
              <w:t>cia de</w:t>
            </w:r>
            <w:r w:rsidR="00DF661A" w:rsidRPr="00DF661A">
              <w:rPr>
                <w:rFonts w:ascii="Arial" w:eastAsia="Times New Roman" w:hAnsi="Arial" w:cs="Arial"/>
                <w:iCs/>
                <w:lang w:val="es-MX"/>
              </w:rPr>
              <w:t xml:space="preserve"> la actuación y manejo de recursos públicos, es destacable que exista en el Estado uruguayo entidades concretas para realizar dicho monitoreo.</w:t>
            </w:r>
          </w:p>
          <w:p w:rsidR="00DF661A" w:rsidRPr="00DF661A" w:rsidRDefault="00DF661A" w:rsidP="00DF66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</w:p>
          <w:p w:rsidR="00DF661A" w:rsidRPr="00DF661A" w:rsidRDefault="00DF661A" w:rsidP="001765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lang w:val="es-MX"/>
              </w:rPr>
            </w:pP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En cuanto al posicionamiento, </w:t>
            </w:r>
            <w:r w:rsidR="0017658B">
              <w:rPr>
                <w:rFonts w:ascii="Arial" w:eastAsia="Times New Roman" w:hAnsi="Arial" w:cs="Arial"/>
                <w:iCs/>
                <w:lang w:val="es-MX"/>
              </w:rPr>
              <w:t xml:space="preserve">se destaca el interés del Estado en </w:t>
            </w:r>
            <w:r w:rsidRPr="00DF661A">
              <w:rPr>
                <w:rFonts w:ascii="Arial" w:eastAsia="Times New Roman" w:hAnsi="Arial" w:cs="Arial"/>
                <w:iCs/>
                <w:lang w:val="es-MX"/>
              </w:rPr>
              <w:t xml:space="preserve">fortalecer la Ley de Transparencia dando mayor alcance de esta a personas </w:t>
            </w:r>
            <w:r w:rsidRPr="00DF661A">
              <w:rPr>
                <w:rFonts w:ascii="Arial" w:hAnsi="Arial" w:cs="Arial"/>
              </w:rPr>
              <w:t>privadas (físicas y jurídicas) que gestionan, ejecutan y/o administran fondos o recursos públicos</w:t>
            </w:r>
            <w:r w:rsidR="00364988">
              <w:rPr>
                <w:rFonts w:ascii="Arial" w:hAnsi="Arial" w:cs="Arial"/>
              </w:rPr>
              <w:t xml:space="preserve">. </w:t>
            </w:r>
          </w:p>
        </w:tc>
      </w:tr>
      <w:tr w:rsidR="002963F9" w:rsidRPr="00DF661A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Default="0065524F" w:rsidP="00A833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En los países que remitieron su posicionamiento sobre el t</w:t>
            </w:r>
            <w:r w:rsidR="00364988">
              <w:rPr>
                <w:rFonts w:ascii="Arial" w:eastAsia="Times New Roman" w:hAnsi="Arial" w:cs="Arial"/>
                <w:iCs/>
              </w:rPr>
              <w:t xml:space="preserve">ema, </w:t>
            </w:r>
            <w:r w:rsidR="00364988" w:rsidRPr="00991C83">
              <w:rPr>
                <w:rFonts w:ascii="Arial" w:eastAsia="Times New Roman" w:hAnsi="Arial" w:cs="Arial"/>
                <w:iCs/>
                <w:highlight w:val="yellow"/>
              </w:rPr>
              <w:t>existen sujetos obligados que deben cumplir con l</w:t>
            </w:r>
            <w:r w:rsidRPr="00991C83">
              <w:rPr>
                <w:rFonts w:ascii="Arial" w:eastAsia="Times New Roman" w:hAnsi="Arial" w:cs="Arial"/>
                <w:iCs/>
                <w:highlight w:val="yellow"/>
              </w:rPr>
              <w:t>as L</w:t>
            </w:r>
            <w:r w:rsidR="00364988" w:rsidRPr="00991C83">
              <w:rPr>
                <w:rFonts w:ascii="Arial" w:eastAsia="Times New Roman" w:hAnsi="Arial" w:cs="Arial"/>
                <w:iCs/>
                <w:highlight w:val="yellow"/>
              </w:rPr>
              <w:t xml:space="preserve">eyes de Transparencia en razón a la función pública, servicio público que presenta, o por la </w:t>
            </w:r>
            <w:r w:rsidR="00A83373" w:rsidRPr="00991C83">
              <w:rPr>
                <w:rFonts w:ascii="Arial" w:eastAsia="Times New Roman" w:hAnsi="Arial" w:cs="Arial"/>
                <w:iCs/>
                <w:highlight w:val="yellow"/>
              </w:rPr>
              <w:t>administración de recursos públicos</w:t>
            </w:r>
            <w:r w:rsidR="00A83373">
              <w:rPr>
                <w:rFonts w:ascii="Arial" w:eastAsia="Times New Roman" w:hAnsi="Arial" w:cs="Arial"/>
                <w:iCs/>
              </w:rPr>
              <w:t>. Si bien</w:t>
            </w:r>
            <w:r w:rsidR="00364988">
              <w:rPr>
                <w:rFonts w:ascii="Arial" w:eastAsia="Times New Roman" w:hAnsi="Arial" w:cs="Arial"/>
                <w:iCs/>
              </w:rPr>
              <w:t xml:space="preserve"> esto es garante con el derecho de acceso</w:t>
            </w:r>
            <w:r w:rsidR="000E0321">
              <w:rPr>
                <w:rFonts w:ascii="Arial" w:eastAsia="Times New Roman" w:hAnsi="Arial" w:cs="Arial"/>
                <w:iCs/>
              </w:rPr>
              <w:t xml:space="preserve"> a la información</w:t>
            </w:r>
            <w:r w:rsidR="00364988">
              <w:rPr>
                <w:rFonts w:ascii="Arial" w:eastAsia="Times New Roman" w:hAnsi="Arial" w:cs="Arial"/>
                <w:iCs/>
              </w:rPr>
              <w:t xml:space="preserve">, es importante generar lineamientos de </w:t>
            </w:r>
            <w:r w:rsidR="0017658B" w:rsidRPr="00991C83">
              <w:rPr>
                <w:rFonts w:ascii="Arial" w:eastAsia="Times New Roman" w:hAnsi="Arial" w:cs="Arial"/>
                <w:iCs/>
                <w:highlight w:val="yellow"/>
              </w:rPr>
              <w:t>cuál</w:t>
            </w:r>
            <w:r w:rsidR="00364988" w:rsidRPr="00991C83">
              <w:rPr>
                <w:rFonts w:ascii="Arial" w:eastAsia="Times New Roman" w:hAnsi="Arial" w:cs="Arial"/>
                <w:iCs/>
                <w:highlight w:val="yellow"/>
              </w:rPr>
              <w:t xml:space="preserve"> es el alcance de la norma</w:t>
            </w:r>
            <w:r w:rsidR="00364988">
              <w:rPr>
                <w:rFonts w:ascii="Arial" w:eastAsia="Times New Roman" w:hAnsi="Arial" w:cs="Arial"/>
                <w:iCs/>
              </w:rPr>
              <w:t xml:space="preserve"> </w:t>
            </w:r>
            <w:r w:rsidR="00A83373">
              <w:rPr>
                <w:rFonts w:ascii="Arial" w:eastAsia="Times New Roman" w:hAnsi="Arial" w:cs="Arial"/>
                <w:iCs/>
              </w:rPr>
              <w:t>para estos entes privados (entendiendo que por la naturaleza de las mismas tienen información clasificada), el procedimiento para la publicad de dicha información</w:t>
            </w:r>
            <w:r w:rsidR="00B93746">
              <w:rPr>
                <w:rFonts w:ascii="Arial" w:eastAsia="Times New Roman" w:hAnsi="Arial" w:cs="Arial"/>
                <w:iCs/>
              </w:rPr>
              <w:t>,</w:t>
            </w:r>
            <w:r w:rsidR="00A83373">
              <w:rPr>
                <w:rFonts w:ascii="Arial" w:eastAsia="Times New Roman" w:hAnsi="Arial" w:cs="Arial"/>
                <w:iCs/>
              </w:rPr>
              <w:t xml:space="preserve"> </w:t>
            </w:r>
            <w:r w:rsidR="00A83373" w:rsidRPr="00991C83">
              <w:rPr>
                <w:rFonts w:ascii="Arial" w:eastAsia="Times New Roman" w:hAnsi="Arial" w:cs="Arial"/>
                <w:iCs/>
                <w:highlight w:val="yellow"/>
              </w:rPr>
              <w:t>así como el control y vigilancia de estas</w:t>
            </w:r>
            <w:r w:rsidR="00A83373">
              <w:rPr>
                <w:rFonts w:ascii="Arial" w:eastAsia="Times New Roman" w:hAnsi="Arial" w:cs="Arial"/>
                <w:iCs/>
              </w:rPr>
              <w:t xml:space="preserve">. </w:t>
            </w:r>
          </w:p>
          <w:p w:rsidR="003D1B7E" w:rsidRPr="00DF661A" w:rsidRDefault="003D1B7E" w:rsidP="00A833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</w:p>
        </w:tc>
      </w:tr>
      <w:tr w:rsidR="00882082" w:rsidRPr="00DF661A" w:rsidTr="00DD3C49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617EE" w:rsidRPr="009E2A68" w:rsidRDefault="00F617EE" w:rsidP="008F4832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Criterio Propuesto</w:t>
            </w:r>
          </w:p>
          <w:p w:rsidR="00882082" w:rsidRPr="009E2A68" w:rsidRDefault="00F617E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(Conclusión </w:t>
            </w:r>
            <w:r w:rsidR="002963F9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General </w:t>
            </w: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:rsidR="00882082" w:rsidRDefault="0017658B" w:rsidP="00A833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En aras de garantizar el derecho de acceso de información pública que ha sido fortalecido por los Estados a través de su legislación, se ha previsto que personas jurídicas de derecho privado sean sujetos obligados de dichas leyes de transparencia. Debido a esto, </w:t>
            </w:r>
            <w:r w:rsidR="00A83373">
              <w:rPr>
                <w:rFonts w:ascii="Arial" w:eastAsia="Times New Roman" w:hAnsi="Arial" w:cs="Arial"/>
                <w:iCs/>
              </w:rPr>
              <w:t>los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  <w:r w:rsidR="00A83373">
              <w:rPr>
                <w:rFonts w:ascii="Arial" w:eastAsia="Times New Roman" w:hAnsi="Arial" w:cs="Arial"/>
                <w:iCs/>
              </w:rPr>
              <w:t>E</w:t>
            </w:r>
            <w:r>
              <w:rPr>
                <w:rFonts w:ascii="Arial" w:eastAsia="Times New Roman" w:hAnsi="Arial" w:cs="Arial"/>
                <w:iCs/>
              </w:rPr>
              <w:t xml:space="preserve">stados </w:t>
            </w:r>
            <w:r w:rsidR="00A83373">
              <w:rPr>
                <w:rFonts w:ascii="Arial" w:eastAsia="Times New Roman" w:hAnsi="Arial" w:cs="Arial"/>
                <w:iCs/>
              </w:rPr>
              <w:t xml:space="preserve">deben generar lineamientos que permitan definir cuál es el alcance de la Ley de Transparencia y el procedimiento para que estas cumplan con los </w:t>
            </w:r>
            <w:r w:rsidR="00B93746">
              <w:rPr>
                <w:rFonts w:ascii="Arial" w:eastAsia="Times New Roman" w:hAnsi="Arial" w:cs="Arial"/>
                <w:iCs/>
              </w:rPr>
              <w:t>e</w:t>
            </w:r>
            <w:r w:rsidR="00A83373">
              <w:rPr>
                <w:rFonts w:ascii="Arial" w:eastAsia="Times New Roman" w:hAnsi="Arial" w:cs="Arial"/>
                <w:iCs/>
              </w:rPr>
              <w:t xml:space="preserve">stándares de transparencia. </w:t>
            </w:r>
          </w:p>
          <w:p w:rsidR="00B93746" w:rsidRDefault="00B93746" w:rsidP="00A833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</w:p>
          <w:p w:rsidR="00B93746" w:rsidRPr="00DF661A" w:rsidRDefault="00B93746" w:rsidP="00991C8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Teniendo como principio fundamental la máxima publicidad de la información, </w:t>
            </w:r>
            <w:r w:rsidRPr="00991C83">
              <w:rPr>
                <w:rFonts w:ascii="Arial" w:eastAsia="Times New Roman" w:hAnsi="Arial" w:cs="Arial"/>
                <w:iCs/>
                <w:highlight w:val="yellow"/>
              </w:rPr>
              <w:t>las personas jurídicas de derecho privado deben por lo menos dar total acceso a información de interés del ciudadano, ya sea en razón a la función pública o servicio que presten, o los recursos públicos que administres.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Cs/>
              </w:rPr>
              <w:t xml:space="preserve">  </w:t>
            </w:r>
          </w:p>
        </w:tc>
      </w:tr>
    </w:tbl>
    <w:p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EF1EF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AE" w:rsidRDefault="00D534AE" w:rsidP="009E2A68">
      <w:pPr>
        <w:spacing w:after="0" w:line="240" w:lineRule="auto"/>
      </w:pPr>
      <w:r>
        <w:separator/>
      </w:r>
    </w:p>
  </w:endnote>
  <w:endnote w:type="continuationSeparator" w:id="0">
    <w:p w:rsidR="00D534AE" w:rsidRDefault="00D534AE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C3C" w:rsidRPr="00FF5C3C" w:rsidRDefault="00FF5C3C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534A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534A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F5C3C" w:rsidRPr="00FF5C3C" w:rsidRDefault="00FF5C3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AE" w:rsidRDefault="00D534AE" w:rsidP="009E2A68">
      <w:pPr>
        <w:spacing w:after="0" w:line="240" w:lineRule="auto"/>
      </w:pPr>
      <w:r>
        <w:separator/>
      </w:r>
    </w:p>
  </w:footnote>
  <w:footnote w:type="continuationSeparator" w:id="0">
    <w:p w:rsidR="00D534AE" w:rsidRDefault="00D534AE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68" w:rsidRPr="008F4DF4" w:rsidRDefault="009E2A68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30EF221" wp14:editId="6F6B947B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9E2A68" w:rsidRPr="008F4DF4" w:rsidRDefault="00EF1EF3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</w:t>
    </w:r>
    <w:r w:rsidR="00DB2A84">
      <w:rPr>
        <w:rFonts w:ascii="Arial" w:hAnsi="Arial" w:cs="Arial"/>
        <w:smallCaps/>
        <w:sz w:val="24"/>
        <w:szCs w:val="24"/>
      </w:rPr>
      <w:t>s</w:t>
    </w: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9E2A68" w:rsidRDefault="005449D0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Séptimo</w:t>
    </w:r>
    <w:r w:rsidR="009E2A68" w:rsidRPr="008F4DF4">
      <w:rPr>
        <w:rFonts w:ascii="Arial" w:hAnsi="Arial" w:cs="Arial"/>
        <w:b/>
        <w:smallCaps/>
        <w:sz w:val="24"/>
        <w:szCs w:val="24"/>
      </w:rPr>
      <w:t xml:space="preserve"> Debate Temático</w:t>
    </w:r>
  </w:p>
  <w:p w:rsidR="00FF5C3C" w:rsidRDefault="00FF5C3C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478B8"/>
    <w:rsid w:val="000732C9"/>
    <w:rsid w:val="00097BDE"/>
    <w:rsid w:val="000E0321"/>
    <w:rsid w:val="00123C94"/>
    <w:rsid w:val="00150183"/>
    <w:rsid w:val="00176531"/>
    <w:rsid w:val="0017658B"/>
    <w:rsid w:val="001E05F5"/>
    <w:rsid w:val="001F1D8B"/>
    <w:rsid w:val="0021594D"/>
    <w:rsid w:val="00231614"/>
    <w:rsid w:val="00287734"/>
    <w:rsid w:val="002963F9"/>
    <w:rsid w:val="003017B8"/>
    <w:rsid w:val="00324388"/>
    <w:rsid w:val="0033112F"/>
    <w:rsid w:val="0033282F"/>
    <w:rsid w:val="00364988"/>
    <w:rsid w:val="0039462F"/>
    <w:rsid w:val="00395B11"/>
    <w:rsid w:val="003A596B"/>
    <w:rsid w:val="003D1B7E"/>
    <w:rsid w:val="00420E96"/>
    <w:rsid w:val="00436105"/>
    <w:rsid w:val="00437516"/>
    <w:rsid w:val="004633C9"/>
    <w:rsid w:val="00486A8A"/>
    <w:rsid w:val="004B612B"/>
    <w:rsid w:val="00515A11"/>
    <w:rsid w:val="00521672"/>
    <w:rsid w:val="00522F6E"/>
    <w:rsid w:val="00542156"/>
    <w:rsid w:val="005449D0"/>
    <w:rsid w:val="0055506D"/>
    <w:rsid w:val="00572131"/>
    <w:rsid w:val="00586DFE"/>
    <w:rsid w:val="005941F2"/>
    <w:rsid w:val="005C295E"/>
    <w:rsid w:val="005E04AA"/>
    <w:rsid w:val="005F182A"/>
    <w:rsid w:val="0061563C"/>
    <w:rsid w:val="00622B72"/>
    <w:rsid w:val="006436F2"/>
    <w:rsid w:val="006537AD"/>
    <w:rsid w:val="0065524F"/>
    <w:rsid w:val="006720BA"/>
    <w:rsid w:val="006920B8"/>
    <w:rsid w:val="006935C8"/>
    <w:rsid w:val="00693E76"/>
    <w:rsid w:val="006F2C37"/>
    <w:rsid w:val="0077298A"/>
    <w:rsid w:val="00775956"/>
    <w:rsid w:val="00787100"/>
    <w:rsid w:val="008641D6"/>
    <w:rsid w:val="00882082"/>
    <w:rsid w:val="008D035D"/>
    <w:rsid w:val="008E056E"/>
    <w:rsid w:val="008F4832"/>
    <w:rsid w:val="0095076A"/>
    <w:rsid w:val="00970F79"/>
    <w:rsid w:val="009760E6"/>
    <w:rsid w:val="009857BE"/>
    <w:rsid w:val="00991C83"/>
    <w:rsid w:val="00996932"/>
    <w:rsid w:val="009B246F"/>
    <w:rsid w:val="009E2A68"/>
    <w:rsid w:val="00A27E14"/>
    <w:rsid w:val="00A801E3"/>
    <w:rsid w:val="00A83373"/>
    <w:rsid w:val="00AC7955"/>
    <w:rsid w:val="00B01095"/>
    <w:rsid w:val="00B43402"/>
    <w:rsid w:val="00B927E9"/>
    <w:rsid w:val="00B93746"/>
    <w:rsid w:val="00BA2264"/>
    <w:rsid w:val="00C2319F"/>
    <w:rsid w:val="00C242F6"/>
    <w:rsid w:val="00C35C08"/>
    <w:rsid w:val="00C469C3"/>
    <w:rsid w:val="00C91BA4"/>
    <w:rsid w:val="00CA0361"/>
    <w:rsid w:val="00CB0032"/>
    <w:rsid w:val="00CB058C"/>
    <w:rsid w:val="00CB3B99"/>
    <w:rsid w:val="00CD4A8F"/>
    <w:rsid w:val="00D534AE"/>
    <w:rsid w:val="00D57B4D"/>
    <w:rsid w:val="00DB2A84"/>
    <w:rsid w:val="00DD211F"/>
    <w:rsid w:val="00DD3C49"/>
    <w:rsid w:val="00DF661A"/>
    <w:rsid w:val="00E10CD4"/>
    <w:rsid w:val="00E131FB"/>
    <w:rsid w:val="00E23674"/>
    <w:rsid w:val="00E46CF9"/>
    <w:rsid w:val="00E723CE"/>
    <w:rsid w:val="00EB564D"/>
    <w:rsid w:val="00EF1EF3"/>
    <w:rsid w:val="00EF4D59"/>
    <w:rsid w:val="00F11AF9"/>
    <w:rsid w:val="00F246BB"/>
    <w:rsid w:val="00F368BA"/>
    <w:rsid w:val="00F37829"/>
    <w:rsid w:val="00F617EE"/>
    <w:rsid w:val="00F62535"/>
    <w:rsid w:val="00F64D83"/>
    <w:rsid w:val="00F810B2"/>
    <w:rsid w:val="00FC3A0E"/>
    <w:rsid w:val="00FD1349"/>
    <w:rsid w:val="00FF4F3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F4A4A-8170-4164-B3F7-B63B2B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  <w:style w:type="paragraph" w:styleId="Sangra2detindependiente">
    <w:name w:val="Body Text Indent 2"/>
    <w:basedOn w:val="Normal"/>
    <w:link w:val="Sangra2detindependienteCar"/>
    <w:rsid w:val="005C295E"/>
    <w:pPr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C295E"/>
    <w:rPr>
      <w:rFonts w:ascii="Arial Narrow" w:eastAsia="Times New Roman" w:hAnsi="Arial Narrow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D7F2577C-6890-41E0-909B-F31BF4431057}"/>
</file>

<file path=customXml/itemProps2.xml><?xml version="1.0" encoding="utf-8"?>
<ds:datastoreItem xmlns:ds="http://schemas.openxmlformats.org/officeDocument/2006/customXml" ds:itemID="{5D8475CC-4542-4AFF-9283-F77192BB5058}"/>
</file>

<file path=customXml/itemProps3.xml><?xml version="1.0" encoding="utf-8"?>
<ds:datastoreItem xmlns:ds="http://schemas.openxmlformats.org/officeDocument/2006/customXml" ds:itemID="{B5187B46-2D1A-492D-86EF-30E78C58F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4</cp:revision>
  <cp:lastPrinted>2015-11-23T17:16:00Z</cp:lastPrinted>
  <dcterms:created xsi:type="dcterms:W3CDTF">2018-06-06T23:29:00Z</dcterms:created>
  <dcterms:modified xsi:type="dcterms:W3CDTF">2018-06-12T20:20:00Z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