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2B" w:rsidRPr="008F4832" w:rsidRDefault="004B612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31FB" w:rsidRPr="009E2A68" w:rsidRDefault="00E131FB" w:rsidP="008F483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mallCaps/>
          <w:sz w:val="24"/>
          <w:szCs w:val="24"/>
        </w:rPr>
      </w:pPr>
      <w:r w:rsidRPr="009E2A68">
        <w:rPr>
          <w:rFonts w:ascii="Arial" w:hAnsi="Arial" w:cs="Arial"/>
          <w:b/>
          <w:smallCaps/>
          <w:sz w:val="24"/>
          <w:szCs w:val="24"/>
        </w:rPr>
        <w:t>Procedimiento para las conclusiones</w:t>
      </w:r>
      <w:r w:rsidR="0033282F" w:rsidRPr="009E2A68">
        <w:rPr>
          <w:rFonts w:ascii="Arial" w:hAnsi="Arial" w:cs="Arial"/>
          <w:b/>
          <w:smallCaps/>
          <w:sz w:val="24"/>
          <w:szCs w:val="24"/>
        </w:rPr>
        <w:t>:</w:t>
      </w:r>
    </w:p>
    <w:p w:rsidR="00882082" w:rsidRPr="008F4832" w:rsidRDefault="00882082" w:rsidP="008F483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82082" w:rsidRPr="008F4832" w:rsidRDefault="00882082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4832">
        <w:rPr>
          <w:rFonts w:ascii="Arial" w:hAnsi="Arial" w:cs="Arial"/>
          <w:sz w:val="24"/>
          <w:szCs w:val="24"/>
        </w:rPr>
        <w:t xml:space="preserve">Una vez que se tenga la información </w:t>
      </w:r>
      <w:r w:rsidR="00F617EE" w:rsidRPr="008F4832">
        <w:rPr>
          <w:rFonts w:ascii="Arial" w:hAnsi="Arial" w:cs="Arial"/>
          <w:sz w:val="24"/>
          <w:szCs w:val="24"/>
        </w:rPr>
        <w:t>de todos los países</w:t>
      </w:r>
      <w:r w:rsidR="00097BDE" w:rsidRPr="008F4832">
        <w:rPr>
          <w:rFonts w:ascii="Arial" w:hAnsi="Arial" w:cs="Arial"/>
          <w:sz w:val="24"/>
          <w:szCs w:val="24"/>
        </w:rPr>
        <w:t xml:space="preserve">, </w:t>
      </w:r>
      <w:r w:rsidRPr="008F4832">
        <w:rPr>
          <w:rFonts w:ascii="Arial" w:hAnsi="Arial" w:cs="Arial"/>
          <w:sz w:val="24"/>
          <w:szCs w:val="24"/>
        </w:rPr>
        <w:t xml:space="preserve">cada </w:t>
      </w:r>
      <w:r w:rsidR="00097BDE" w:rsidRPr="008F4832">
        <w:rPr>
          <w:rFonts w:ascii="Arial" w:hAnsi="Arial" w:cs="Arial"/>
          <w:sz w:val="24"/>
          <w:szCs w:val="24"/>
        </w:rPr>
        <w:t>uno de ellos</w:t>
      </w:r>
      <w:r w:rsidRPr="008F4832">
        <w:rPr>
          <w:rFonts w:ascii="Arial" w:hAnsi="Arial" w:cs="Arial"/>
          <w:sz w:val="24"/>
          <w:szCs w:val="24"/>
        </w:rPr>
        <w:t xml:space="preserve"> deberá emitir sus propias conclusiones y proponer una conclusión general para el Grupo</w:t>
      </w:r>
      <w:r w:rsidR="00F617EE" w:rsidRPr="008F4832">
        <w:rPr>
          <w:rFonts w:ascii="Arial" w:hAnsi="Arial" w:cs="Arial"/>
          <w:sz w:val="24"/>
          <w:szCs w:val="24"/>
        </w:rPr>
        <w:t xml:space="preserve"> de Jurisprudencia </w:t>
      </w:r>
      <w:r w:rsidR="0055506D">
        <w:rPr>
          <w:rFonts w:ascii="Arial" w:hAnsi="Arial" w:cs="Arial"/>
          <w:sz w:val="24"/>
          <w:szCs w:val="24"/>
        </w:rPr>
        <w:t>y Criterios Administrativos</w:t>
      </w:r>
      <w:r w:rsidRPr="008F4832">
        <w:rPr>
          <w:rFonts w:ascii="Arial" w:hAnsi="Arial" w:cs="Arial"/>
          <w:sz w:val="24"/>
          <w:szCs w:val="24"/>
        </w:rPr>
        <w:t>.</w:t>
      </w:r>
    </w:p>
    <w:p w:rsidR="00882082" w:rsidRPr="008F4832" w:rsidRDefault="00882082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2082" w:rsidRPr="008F4832" w:rsidRDefault="0055506D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97BDE" w:rsidRPr="008F4832">
        <w:rPr>
          <w:rFonts w:ascii="Arial" w:hAnsi="Arial" w:cs="Arial"/>
          <w:sz w:val="24"/>
          <w:szCs w:val="24"/>
        </w:rPr>
        <w:t>l INAI</w:t>
      </w:r>
      <w:r w:rsidR="00882082" w:rsidRPr="008F48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como moderador del Debate,</w:t>
      </w:r>
      <w:r w:rsidR="00882082" w:rsidRPr="008F4832">
        <w:rPr>
          <w:rFonts w:ascii="Arial" w:hAnsi="Arial" w:cs="Arial"/>
          <w:sz w:val="24"/>
          <w:szCs w:val="24"/>
        </w:rPr>
        <w:t xml:space="preserve"> elaborará un análisis de todas las propuestas y emitirá un criterio </w:t>
      </w:r>
      <w:r w:rsidR="00F617EE" w:rsidRPr="008F4832">
        <w:rPr>
          <w:rFonts w:ascii="Arial" w:hAnsi="Arial" w:cs="Arial"/>
          <w:sz w:val="24"/>
          <w:szCs w:val="24"/>
        </w:rPr>
        <w:t xml:space="preserve">único </w:t>
      </w:r>
      <w:r w:rsidR="00882082" w:rsidRPr="008F4832">
        <w:rPr>
          <w:rFonts w:ascii="Arial" w:hAnsi="Arial" w:cs="Arial"/>
          <w:sz w:val="24"/>
          <w:szCs w:val="24"/>
        </w:rPr>
        <w:t xml:space="preserve">que enviará </w:t>
      </w:r>
      <w:r>
        <w:rPr>
          <w:rFonts w:ascii="Arial" w:hAnsi="Arial" w:cs="Arial"/>
          <w:sz w:val="24"/>
          <w:szCs w:val="24"/>
        </w:rPr>
        <w:t>a consideración de</w:t>
      </w:r>
      <w:r w:rsidR="00882082" w:rsidRPr="008F4832">
        <w:rPr>
          <w:rFonts w:ascii="Arial" w:hAnsi="Arial" w:cs="Arial"/>
          <w:sz w:val="24"/>
          <w:szCs w:val="24"/>
        </w:rPr>
        <w:t xml:space="preserve"> los países miembros para </w:t>
      </w:r>
      <w:r w:rsidR="005E04AA" w:rsidRPr="008F4832">
        <w:rPr>
          <w:rFonts w:ascii="Arial" w:hAnsi="Arial" w:cs="Arial"/>
          <w:sz w:val="24"/>
          <w:szCs w:val="24"/>
        </w:rPr>
        <w:t xml:space="preserve">reflejar la posición que tiene el grupo en </w:t>
      </w:r>
      <w:r>
        <w:rPr>
          <w:rFonts w:ascii="Arial" w:hAnsi="Arial" w:cs="Arial"/>
          <w:sz w:val="24"/>
          <w:szCs w:val="24"/>
        </w:rPr>
        <w:t>el</w:t>
      </w:r>
      <w:r w:rsidR="005E04AA" w:rsidRPr="008F4832">
        <w:rPr>
          <w:rFonts w:ascii="Arial" w:hAnsi="Arial" w:cs="Arial"/>
          <w:sz w:val="24"/>
          <w:szCs w:val="24"/>
        </w:rPr>
        <w:t xml:space="preserve"> tema</w:t>
      </w:r>
      <w:r w:rsidR="00882082" w:rsidRPr="008F4832">
        <w:rPr>
          <w:rFonts w:ascii="Arial" w:hAnsi="Arial" w:cs="Arial"/>
          <w:sz w:val="24"/>
          <w:szCs w:val="24"/>
        </w:rPr>
        <w:t xml:space="preserve">. </w:t>
      </w:r>
    </w:p>
    <w:p w:rsidR="0033282F" w:rsidRPr="006720BA" w:rsidRDefault="0043590C" w:rsidP="0043590C">
      <w:pPr>
        <w:tabs>
          <w:tab w:val="left" w:pos="10170"/>
        </w:tabs>
        <w:spacing w:after="0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ab/>
      </w:r>
    </w:p>
    <w:tbl>
      <w:tblPr>
        <w:tblStyle w:val="Listaclara-nfasis2"/>
        <w:tblW w:w="5005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359"/>
        <w:gridCol w:w="11045"/>
      </w:tblGrid>
      <w:tr w:rsidR="00882082" w:rsidRPr="00D6155B" w:rsidTr="0050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365F91" w:themeFill="accent1" w:themeFillShade="BF"/>
            <w:vAlign w:val="center"/>
          </w:tcPr>
          <w:p w:rsidR="00882082" w:rsidRPr="00E10CD4" w:rsidRDefault="00D6155B" w:rsidP="00D6155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Acceso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a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l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a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i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nformación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p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ública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y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e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l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u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so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d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e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n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 xml:space="preserve">uevas 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t</w:t>
            </w:r>
            <w:r w:rsidRPr="00D6155B"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ecnologías</w:t>
            </w:r>
            <w:r>
              <w:rPr>
                <w:rFonts w:ascii="Arial" w:eastAsia="Times New Roman" w:hAnsi="Arial" w:cs="Arial"/>
                <w:iCs/>
                <w:smallCaps/>
                <w:sz w:val="24"/>
                <w:szCs w:val="24"/>
                <w:lang w:val="es-CO"/>
              </w:rPr>
              <w:t>.</w:t>
            </w:r>
          </w:p>
        </w:tc>
      </w:tr>
      <w:tr w:rsidR="00D6155B" w:rsidRPr="00BE3E9C" w:rsidTr="00D6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 w:val="restart"/>
            <w:vAlign w:val="center"/>
          </w:tcPr>
          <w:p w:rsidR="00D6155B" w:rsidRPr="009E2A68" w:rsidRDefault="00D6155B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Elementos a destacar sobre el posicionamiento de otros países</w:t>
            </w:r>
          </w:p>
        </w:tc>
        <w:tc>
          <w:tcPr>
            <w:tcW w:w="3834" w:type="pct"/>
            <w:vAlign w:val="center"/>
          </w:tcPr>
          <w:p w:rsidR="00235EB6" w:rsidRDefault="00247CC6" w:rsidP="00A37E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Brasil</w:t>
            </w:r>
            <w:r w:rsidR="00D6155B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</w:p>
          <w:p w:rsidR="00BC52B1" w:rsidRDefault="00BC52B1" w:rsidP="00A37E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BC52B1" w:rsidRPr="00BC52B1" w:rsidRDefault="00BC52B1" w:rsidP="00BC52B1">
            <w:pPr>
              <w:ind w:left="4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BC52B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Destacamos, la amplia estructura normativa que soporta el acceso a la información, especialmente el enfoque centrado en el mejoramiento de los servicios de la administración p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úbica, </w:t>
            </w:r>
            <w:r w:rsidR="00EE561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hacemos énfasis en los siguientes aspectos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</w:p>
          <w:p w:rsidR="00BC52B1" w:rsidRPr="00BC52B1" w:rsidRDefault="00BC52B1" w:rsidP="00BC52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</w:pPr>
          </w:p>
          <w:p w:rsidR="00604955" w:rsidRPr="00235EB6" w:rsidRDefault="0069496B" w:rsidP="00235EB6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</w:t>
            </w:r>
            <w:r w:rsidR="00860D81" w:rsidRPr="00235E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 Sistema Electrónico del Servicio de Información al Ciudadano (e-SIC)</w:t>
            </w:r>
            <w:r w:rsidR="00235EB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;</w:t>
            </w:r>
          </w:p>
          <w:p w:rsidR="00235EB6" w:rsidRPr="00235EB6" w:rsidRDefault="00235EB6" w:rsidP="00235EB6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</w:pPr>
            <w:r w:rsidRPr="005964F6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Ley de participación, protección y defensa de los derechos del usuario de los servicios públicos de la administración pública</w:t>
            </w:r>
            <w:r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;</w:t>
            </w:r>
          </w:p>
          <w:p w:rsidR="00235EB6" w:rsidRDefault="0084320F" w:rsidP="0084320F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La obligatoria </w:t>
            </w:r>
            <w:r w:rsidRPr="0084320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tramitación electrónica de documentos en los órganos y entidades de la administración pública federal di</w:t>
            </w:r>
            <w:r w:rsidR="00007AB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recta, autárquica y fundacional;</w:t>
            </w:r>
          </w:p>
          <w:p w:rsidR="0084320F" w:rsidRDefault="00A65495" w:rsidP="00A65495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A6549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Escala Brasil Transparente</w:t>
            </w:r>
            <w:r w:rsidR="00007AB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;</w:t>
            </w:r>
          </w:p>
          <w:p w:rsidR="00A65495" w:rsidRPr="0084320F" w:rsidRDefault="00A65495" w:rsidP="00EE5611">
            <w:pPr>
              <w:pStyle w:val="Prrafodelista"/>
              <w:ind w:left="7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</w:tc>
      </w:tr>
      <w:tr w:rsidR="00247CC6" w:rsidRPr="008F4832" w:rsidTr="00501A1A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247CC6" w:rsidRDefault="00247CC6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247CC6" w:rsidRDefault="00247CC6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México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</w:p>
          <w:p w:rsidR="00BC52B1" w:rsidRDefault="00BC52B1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EE5611" w:rsidRDefault="00BC52B1" w:rsidP="00EE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Destacamos </w:t>
            </w:r>
            <w:r w:rsidR="00EE561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el </w:t>
            </w:r>
            <w:r w:rsidR="0088190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Portal Nacional de Transparencia, considera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ndo</w:t>
            </w:r>
            <w:r w:rsidR="0088190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valiosa la estructura de los 4 módulos, </w:t>
            </w:r>
            <w:r w:rsidR="00EE561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 cual logra</w:t>
            </w:r>
            <w:r w:rsidR="0088190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s</w:t>
            </w:r>
            <w:r w:rsidR="00EE561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atisfacer las necesidades que presentan todos los factores intervinientes en el derecho de acceso a la información.</w:t>
            </w:r>
          </w:p>
          <w:p w:rsidR="00EE5611" w:rsidRDefault="00EE5611" w:rsidP="00EE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EE5611" w:rsidRDefault="00EB0966" w:rsidP="00EE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lastRenderedPageBreak/>
              <w:t>Las buenas prácticas presentadas nos resultan de mucho interés para el fortalecimiento de la transparencia.</w:t>
            </w:r>
          </w:p>
          <w:p w:rsidR="00EB0966" w:rsidRDefault="00EB0966" w:rsidP="00EE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EE5611" w:rsidRDefault="00EB0966" w:rsidP="00EE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Debemos resaltar que la creación del </w:t>
            </w:r>
            <w:r>
              <w:rPr>
                <w:rFonts w:ascii="Arial" w:hAnsi="Arial" w:cs="Arial"/>
                <w:sz w:val="24"/>
                <w:szCs w:val="24"/>
                <w:lang w:val="es-MX" w:eastAsia="es-ES"/>
              </w:rPr>
              <w:t>Centro de Capacitación Virtual (Cevinai), nos resulta una estrategia novedosa que contribuye a mejorar la calidad de los espacios de participaci</w:t>
            </w:r>
            <w:r w:rsidR="00171E67">
              <w:rPr>
                <w:rFonts w:ascii="Arial" w:hAnsi="Arial" w:cs="Arial"/>
                <w:sz w:val="24"/>
                <w:szCs w:val="24"/>
                <w:lang w:val="es-MX" w:eastAsia="es-ES"/>
              </w:rPr>
              <w:t>ón ciudadana.</w:t>
            </w:r>
          </w:p>
          <w:p w:rsidR="00674CCB" w:rsidRPr="00BC52B1" w:rsidRDefault="00EE5611" w:rsidP="00EE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</w:p>
        </w:tc>
      </w:tr>
      <w:tr w:rsidR="00FA5C2B" w:rsidRPr="008F4832" w:rsidTr="0050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FA5C2B" w:rsidRDefault="00FA5C2B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661995" w:rsidRPr="00A37ECC" w:rsidRDefault="00FA5C2B" w:rsidP="00A37E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Panamá</w:t>
            </w:r>
            <w:r w:rsidRPr="00B4340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</w:p>
        </w:tc>
      </w:tr>
      <w:tr w:rsidR="00FA5C2B" w:rsidRPr="008F4832" w:rsidTr="00501A1A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FA5C2B" w:rsidRDefault="00FA5C2B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674CCB" w:rsidRDefault="00FA5C2B" w:rsidP="00860D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9D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Perú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860D81">
              <w:t xml:space="preserve"> </w:t>
            </w:r>
          </w:p>
          <w:p w:rsidR="00862114" w:rsidRPr="00482676" w:rsidRDefault="00482676" w:rsidP="00302B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Destacamos los l</w:t>
            </w:r>
            <w:r w:rsidR="00674CCB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ineamientos para la digitalización del patrimonio documental archivístico del mismo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ya que n</w:t>
            </w:r>
            <w:r w:rsidR="00674CCB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os parece fundamental 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la </w:t>
            </w:r>
            <w:r w:rsidR="00674CCB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organización, digitalización y actualización</w:t>
            </w:r>
            <w:r w:rsidR="00860D81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del sistema documental a la hora de orientar las acciones del Estado a la modernización de la</w:t>
            </w:r>
            <w:r w:rsidR="00674CCB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gestión de </w:t>
            </w:r>
            <w:r w:rsidR="00860D81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información, 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facilitando así</w:t>
            </w:r>
            <w:r w:rsidR="00860D81" w:rsidRPr="004826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cualquier innovación procedimental relacionada al derecho de acceso a la información.</w:t>
            </w:r>
          </w:p>
        </w:tc>
      </w:tr>
      <w:tr w:rsidR="00FA5C2B" w:rsidRPr="008F4832" w:rsidTr="0050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FA5C2B" w:rsidRDefault="00FA5C2B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640FD7" w:rsidRDefault="00FA5C2B" w:rsidP="00A37E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Uruguay</w:t>
            </w:r>
            <w:r w:rsidR="009254F1" w:rsidRPr="009254F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</w:p>
          <w:p w:rsidR="005E749A" w:rsidRPr="00482676" w:rsidRDefault="00482676" w:rsidP="004826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lang w:eastAsia="es-ES"/>
              </w:rPr>
              <w:t>Destacamos el desarrollo de la plataforma B</w:t>
            </w:r>
            <w:r w:rsidR="005E749A" w:rsidRPr="00482676">
              <w:rPr>
                <w:rFonts w:ascii="Arial" w:eastAsia="Times New Roman" w:hAnsi="Arial" w:cs="Arial"/>
                <w:lang w:eastAsia="es-ES"/>
              </w:rPr>
              <w:t>uscad</w:t>
            </w:r>
            <w:r>
              <w:rPr>
                <w:rFonts w:ascii="Arial" w:eastAsia="Times New Roman" w:hAnsi="Arial" w:cs="Arial"/>
                <w:lang w:eastAsia="es-ES"/>
              </w:rPr>
              <w:t>or del Estado (buscador.gub.uy), la misma resuelve entre otras cosas, la necesidad de unificar una línea de comunicación con el ciudadano, representa una valiosa herramienta interinstitucional y permite fortalecer la credibilidad de las fuentes estatales.</w:t>
            </w:r>
          </w:p>
        </w:tc>
      </w:tr>
      <w:tr w:rsidR="002963F9" w:rsidRPr="008F4832" w:rsidTr="00501A1A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2963F9" w:rsidRPr="009E2A68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Conclusiones por País</w:t>
            </w:r>
          </w:p>
        </w:tc>
        <w:tc>
          <w:tcPr>
            <w:tcW w:w="3834" w:type="pct"/>
            <w:vAlign w:val="center"/>
          </w:tcPr>
          <w:p w:rsidR="0012080A" w:rsidRDefault="00482676" w:rsidP="00A37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Consideramos que existen avances muy similares en los países que han presentado su situación en cuanto al acceso a la información pública y el uso de nuevas tecnologías, salvando las diferencias que responden a los moment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</w:rPr>
              <w:t>os en que cada uno se encuentra;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es valioso resaltar las semejanzas a la hora de poder trazar un panorama general que nos permite entender las problemáticas y las estrategias de solución.</w:t>
            </w:r>
          </w:p>
          <w:p w:rsidR="00482676" w:rsidRDefault="00482676" w:rsidP="00A37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482676" w:rsidRDefault="00482676" w:rsidP="00A37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Resaltamos la importancia el fortalecimiento de la participación ciudadana, hoy día resulta imposible hablar de acceso a la información como </w:t>
            </w:r>
            <w:r w:rsidR="00AE369B">
              <w:rPr>
                <w:rFonts w:ascii="Arial" w:eastAsia="Times New Roman" w:hAnsi="Arial" w:cs="Arial"/>
                <w:iCs/>
                <w:sz w:val="24"/>
                <w:szCs w:val="24"/>
              </w:rPr>
              <w:t>un factor exclusivo de la obligación del Estado de otorgar la información, es fundamental entender el acceso a la información como un ciclo evolutivo que permite un intercambio constante entre ciudadanía y gobierno.</w:t>
            </w:r>
          </w:p>
          <w:p w:rsidR="00AE369B" w:rsidRDefault="00AE369B" w:rsidP="00A37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AE369B" w:rsidRPr="00A37ECC" w:rsidRDefault="00AE369B" w:rsidP="0009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Adicionalmente, es importante entender el derecho acceso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a la información pública como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una pieza fundamental que debe estar intrínseca en la gestión de gobierno</w:t>
            </w:r>
            <w:r w:rsidR="00095C16">
              <w:rPr>
                <w:rFonts w:ascii="Arial" w:eastAsia="Times New Roman" w:hAnsi="Arial" w:cs="Arial"/>
                <w:iCs/>
                <w:sz w:val="24"/>
                <w:szCs w:val="24"/>
              </w:rPr>
              <w:t>, de todos los órganos del Estado;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así mismo la innovación tecnol</w:t>
            </w:r>
            <w:r w:rsidR="00095C1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ógica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debe encaminarse a la creación </w:t>
            </w:r>
            <w:r w:rsidR="00095C16">
              <w:rPr>
                <w:rFonts w:ascii="Arial" w:eastAsia="Times New Roman" w:hAnsi="Arial" w:cs="Arial"/>
                <w:iCs/>
                <w:sz w:val="24"/>
                <w:szCs w:val="24"/>
              </w:rPr>
              <w:t>de una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sinergia colaborativa entre todos los actores de un Estado, es decir, consideramos que es fundamental que la gestión de información sea un espacio constante de co creación.</w:t>
            </w:r>
          </w:p>
        </w:tc>
      </w:tr>
      <w:tr w:rsidR="00882082" w:rsidRPr="008F4832" w:rsidTr="00501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F617EE" w:rsidRPr="009E2A68" w:rsidRDefault="00F617EE" w:rsidP="008F4832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>Criterio Propuesto</w:t>
            </w:r>
          </w:p>
          <w:p w:rsidR="00882082" w:rsidRPr="009E2A68" w:rsidRDefault="00F617E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(Conclusión </w:t>
            </w:r>
            <w:r w:rsidR="002963F9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General </w:t>
            </w: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para el Grupo)</w:t>
            </w:r>
          </w:p>
        </w:tc>
        <w:tc>
          <w:tcPr>
            <w:tcW w:w="3834" w:type="pct"/>
            <w:vAlign w:val="center"/>
          </w:tcPr>
          <w:p w:rsidR="00C47ACB" w:rsidRDefault="00C47ACB" w:rsidP="008F483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C47ACB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El uso de las nuevas tecnologías y el acceso a la información como factor transversal en la gestión del Estado.</w:t>
            </w:r>
          </w:p>
          <w:p w:rsidR="00F23743" w:rsidRPr="00F23743" w:rsidRDefault="00F23743" w:rsidP="00F237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En muchas ocasiones se comete el error de vincular el derecho de acceso a la información de man</w:t>
            </w:r>
            <w:r w:rsidR="00302BB2">
              <w:rPr>
                <w:rFonts w:ascii="Arial" w:eastAsia="Times New Roman" w:hAnsi="Arial" w:cs="Arial"/>
                <w:iCs/>
                <w:sz w:val="24"/>
                <w:szCs w:val="24"/>
              </w:rPr>
              <w:t>era exclusiva a la gestión del Órgano 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jecutivo. </w:t>
            </w:r>
          </w:p>
        </w:tc>
      </w:tr>
    </w:tbl>
    <w:p w:rsidR="00E131FB" w:rsidRPr="008F4832" w:rsidRDefault="00E131FB" w:rsidP="00BC7F6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131FB" w:rsidRPr="008F4832" w:rsidSect="00EF1EF3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3F" w:rsidRDefault="00F57C3F" w:rsidP="009E2A68">
      <w:pPr>
        <w:spacing w:after="0" w:line="240" w:lineRule="auto"/>
      </w:pPr>
      <w:r>
        <w:separator/>
      </w:r>
    </w:p>
  </w:endnote>
  <w:endnote w:type="continuationSeparator" w:id="0">
    <w:p w:rsidR="00F57C3F" w:rsidRDefault="00F57C3F" w:rsidP="009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347255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5C3C" w:rsidRPr="00FF5C3C" w:rsidRDefault="00FF5C3C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F5C3C">
              <w:rPr>
                <w:rFonts w:ascii="Arial" w:hAnsi="Arial" w:cs="Arial"/>
                <w:sz w:val="18"/>
              </w:rPr>
              <w:t xml:space="preserve">Página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02BB2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F5C3C">
              <w:rPr>
                <w:rFonts w:ascii="Arial" w:hAnsi="Arial" w:cs="Arial"/>
                <w:sz w:val="18"/>
              </w:rPr>
              <w:t xml:space="preserve"> de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302BB2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F5C3C" w:rsidRPr="00FF5C3C" w:rsidRDefault="00FF5C3C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3F" w:rsidRDefault="00F57C3F" w:rsidP="009E2A68">
      <w:pPr>
        <w:spacing w:after="0" w:line="240" w:lineRule="auto"/>
      </w:pPr>
      <w:r>
        <w:separator/>
      </w:r>
    </w:p>
  </w:footnote>
  <w:footnote w:type="continuationSeparator" w:id="0">
    <w:p w:rsidR="00F57C3F" w:rsidRDefault="00F57C3F" w:rsidP="009E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68" w:rsidRPr="008F4DF4" w:rsidRDefault="009E2A68" w:rsidP="009E2A68">
    <w:pPr>
      <w:spacing w:after="0" w:line="240" w:lineRule="auto"/>
      <w:jc w:val="right"/>
      <w:rPr>
        <w:rFonts w:ascii="Arial" w:hAnsi="Arial" w:cs="Arial"/>
        <w:b/>
        <w:smallCaps/>
      </w:rPr>
    </w:pPr>
    <w:r w:rsidRPr="008F4DF4">
      <w:rPr>
        <w:smallCaps/>
        <w:noProof/>
        <w:lang w:val="es-PA" w:eastAsia="es-PA"/>
      </w:rPr>
      <w:drawing>
        <wp:anchor distT="0" distB="0" distL="114300" distR="114300" simplePos="0" relativeHeight="251659264" behindDoc="0" locked="0" layoutInCell="1" allowOverlap="1" wp14:anchorId="030EF221" wp14:editId="6F6B947B">
          <wp:simplePos x="0" y="0"/>
          <wp:positionH relativeFrom="margin">
            <wp:posOffset>371475</wp:posOffset>
          </wp:positionH>
          <wp:positionV relativeFrom="margin">
            <wp:posOffset>-1037590</wp:posOffset>
          </wp:positionV>
          <wp:extent cx="1104900" cy="830580"/>
          <wp:effectExtent l="0" t="0" r="0" b="7620"/>
          <wp:wrapSquare wrapText="bothSides"/>
          <wp:docPr id="12" name="3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DF4">
      <w:rPr>
        <w:rFonts w:ascii="Arial" w:hAnsi="Arial" w:cs="Arial"/>
        <w:b/>
        <w:smallCaps/>
      </w:rPr>
      <w:t>Grupo de Jurisprudencia y Criterios Administrativos</w:t>
    </w:r>
  </w:p>
  <w:p w:rsidR="009E2A68" w:rsidRPr="008F4DF4" w:rsidRDefault="00EF1EF3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Debate sobre posicionamiento</w:t>
    </w:r>
    <w:r w:rsidR="00DB2A84">
      <w:rPr>
        <w:rFonts w:ascii="Arial" w:hAnsi="Arial" w:cs="Arial"/>
        <w:smallCaps/>
        <w:sz w:val="24"/>
        <w:szCs w:val="24"/>
      </w:rPr>
      <w:t>s</w:t>
    </w:r>
  </w:p>
  <w:p w:rsidR="009E2A68" w:rsidRDefault="009E2A68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  <w:p w:rsidR="009E2A68" w:rsidRDefault="00D6155B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>Noveno</w:t>
    </w:r>
    <w:r w:rsidR="0043590C">
      <w:rPr>
        <w:rFonts w:ascii="Arial" w:hAnsi="Arial" w:cs="Arial"/>
        <w:b/>
        <w:smallCaps/>
        <w:sz w:val="24"/>
        <w:szCs w:val="24"/>
      </w:rPr>
      <w:t xml:space="preserve"> </w:t>
    </w:r>
    <w:r w:rsidR="009E2A68" w:rsidRPr="008F4DF4">
      <w:rPr>
        <w:rFonts w:ascii="Arial" w:hAnsi="Arial" w:cs="Arial"/>
        <w:b/>
        <w:smallCaps/>
        <w:sz w:val="24"/>
        <w:szCs w:val="24"/>
      </w:rPr>
      <w:t>Debate Temático</w:t>
    </w:r>
  </w:p>
  <w:p w:rsidR="00FF5C3C" w:rsidRDefault="00FF5C3C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FA0"/>
    <w:multiLevelType w:val="hybridMultilevel"/>
    <w:tmpl w:val="DF98599E"/>
    <w:lvl w:ilvl="0" w:tplc="A30A68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842"/>
    <w:multiLevelType w:val="hybridMultilevel"/>
    <w:tmpl w:val="7F1A8A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927"/>
    <w:multiLevelType w:val="hybridMultilevel"/>
    <w:tmpl w:val="F926E04C"/>
    <w:lvl w:ilvl="0" w:tplc="1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EC3B21"/>
    <w:multiLevelType w:val="hybridMultilevel"/>
    <w:tmpl w:val="5726B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3EE"/>
    <w:multiLevelType w:val="hybridMultilevel"/>
    <w:tmpl w:val="D9D684CA"/>
    <w:lvl w:ilvl="0" w:tplc="C5943C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9A0"/>
    <w:multiLevelType w:val="hybridMultilevel"/>
    <w:tmpl w:val="CE42560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26568F"/>
    <w:multiLevelType w:val="hybridMultilevel"/>
    <w:tmpl w:val="DDE2C88A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775C"/>
    <w:multiLevelType w:val="hybridMultilevel"/>
    <w:tmpl w:val="9260FF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7A5E"/>
    <w:multiLevelType w:val="hybridMultilevel"/>
    <w:tmpl w:val="74E047C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F919BE"/>
    <w:multiLevelType w:val="hybridMultilevel"/>
    <w:tmpl w:val="2DCE7BE4"/>
    <w:lvl w:ilvl="0" w:tplc="75A0EF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C181E"/>
    <w:multiLevelType w:val="hybridMultilevel"/>
    <w:tmpl w:val="C188F7D0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01E6B"/>
    <w:multiLevelType w:val="hybridMultilevel"/>
    <w:tmpl w:val="ED9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2305"/>
    <w:multiLevelType w:val="hybridMultilevel"/>
    <w:tmpl w:val="C76026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B603F"/>
    <w:multiLevelType w:val="hybridMultilevel"/>
    <w:tmpl w:val="41B2BD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11F51"/>
    <w:multiLevelType w:val="hybridMultilevel"/>
    <w:tmpl w:val="2D50D9AA"/>
    <w:lvl w:ilvl="0" w:tplc="28861FB6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B"/>
    <w:rsid w:val="00007AB0"/>
    <w:rsid w:val="00011955"/>
    <w:rsid w:val="000216F6"/>
    <w:rsid w:val="00026C65"/>
    <w:rsid w:val="000478B8"/>
    <w:rsid w:val="0005533B"/>
    <w:rsid w:val="0007045D"/>
    <w:rsid w:val="00095C16"/>
    <w:rsid w:val="00097BDE"/>
    <w:rsid w:val="000A16B0"/>
    <w:rsid w:val="000C1466"/>
    <w:rsid w:val="0012080A"/>
    <w:rsid w:val="00123C94"/>
    <w:rsid w:val="00127385"/>
    <w:rsid w:val="00150183"/>
    <w:rsid w:val="00171E67"/>
    <w:rsid w:val="00194CCF"/>
    <w:rsid w:val="001E13D6"/>
    <w:rsid w:val="001F1854"/>
    <w:rsid w:val="001F1D8B"/>
    <w:rsid w:val="00231614"/>
    <w:rsid w:val="00235EB6"/>
    <w:rsid w:val="0024161D"/>
    <w:rsid w:val="00247CC6"/>
    <w:rsid w:val="00287734"/>
    <w:rsid w:val="002963F9"/>
    <w:rsid w:val="002B508B"/>
    <w:rsid w:val="00302BB2"/>
    <w:rsid w:val="00324388"/>
    <w:rsid w:val="0033112F"/>
    <w:rsid w:val="0033282F"/>
    <w:rsid w:val="0034397E"/>
    <w:rsid w:val="00360D80"/>
    <w:rsid w:val="0039462F"/>
    <w:rsid w:val="00396567"/>
    <w:rsid w:val="003A596B"/>
    <w:rsid w:val="003B651A"/>
    <w:rsid w:val="00420E96"/>
    <w:rsid w:val="0043590C"/>
    <w:rsid w:val="00436105"/>
    <w:rsid w:val="00437516"/>
    <w:rsid w:val="004633C9"/>
    <w:rsid w:val="00482676"/>
    <w:rsid w:val="00486A8A"/>
    <w:rsid w:val="00493FE9"/>
    <w:rsid w:val="004A53AF"/>
    <w:rsid w:val="004A577C"/>
    <w:rsid w:val="004B612B"/>
    <w:rsid w:val="00501A1A"/>
    <w:rsid w:val="00521672"/>
    <w:rsid w:val="00522F6E"/>
    <w:rsid w:val="005449D0"/>
    <w:rsid w:val="0055506D"/>
    <w:rsid w:val="005941F2"/>
    <w:rsid w:val="005E04AA"/>
    <w:rsid w:val="005E6E35"/>
    <w:rsid w:val="005E749A"/>
    <w:rsid w:val="00604955"/>
    <w:rsid w:val="0061563C"/>
    <w:rsid w:val="00622B72"/>
    <w:rsid w:val="00640FD7"/>
    <w:rsid w:val="006436F2"/>
    <w:rsid w:val="006537AD"/>
    <w:rsid w:val="00661995"/>
    <w:rsid w:val="006720BA"/>
    <w:rsid w:val="00674CCB"/>
    <w:rsid w:val="00682BC7"/>
    <w:rsid w:val="006935C8"/>
    <w:rsid w:val="0069496B"/>
    <w:rsid w:val="00696D40"/>
    <w:rsid w:val="006C7D1A"/>
    <w:rsid w:val="007028D8"/>
    <w:rsid w:val="00741D45"/>
    <w:rsid w:val="00787100"/>
    <w:rsid w:val="0084320F"/>
    <w:rsid w:val="00860D81"/>
    <w:rsid w:val="00862114"/>
    <w:rsid w:val="008641D6"/>
    <w:rsid w:val="00881902"/>
    <w:rsid w:val="00882082"/>
    <w:rsid w:val="008E056E"/>
    <w:rsid w:val="008F4832"/>
    <w:rsid w:val="00900E76"/>
    <w:rsid w:val="009220F0"/>
    <w:rsid w:val="009254F1"/>
    <w:rsid w:val="0095076A"/>
    <w:rsid w:val="00970F79"/>
    <w:rsid w:val="009760E6"/>
    <w:rsid w:val="00996932"/>
    <w:rsid w:val="009B15A6"/>
    <w:rsid w:val="009B6A7D"/>
    <w:rsid w:val="009E2A68"/>
    <w:rsid w:val="009F00C3"/>
    <w:rsid w:val="00A27E14"/>
    <w:rsid w:val="00A37ECC"/>
    <w:rsid w:val="00A47478"/>
    <w:rsid w:val="00A65495"/>
    <w:rsid w:val="00A801E3"/>
    <w:rsid w:val="00AB75A8"/>
    <w:rsid w:val="00AC7955"/>
    <w:rsid w:val="00AE369B"/>
    <w:rsid w:val="00B116C1"/>
    <w:rsid w:val="00B25AB0"/>
    <w:rsid w:val="00B371CD"/>
    <w:rsid w:val="00B43402"/>
    <w:rsid w:val="00B927E9"/>
    <w:rsid w:val="00BB7DC1"/>
    <w:rsid w:val="00BC52B1"/>
    <w:rsid w:val="00BC7F66"/>
    <w:rsid w:val="00BD186F"/>
    <w:rsid w:val="00BE3E9C"/>
    <w:rsid w:val="00C469C3"/>
    <w:rsid w:val="00C47ACB"/>
    <w:rsid w:val="00CB058C"/>
    <w:rsid w:val="00CB3B99"/>
    <w:rsid w:val="00D325B4"/>
    <w:rsid w:val="00D6155B"/>
    <w:rsid w:val="00DB2A84"/>
    <w:rsid w:val="00E10CD4"/>
    <w:rsid w:val="00E131FB"/>
    <w:rsid w:val="00E23674"/>
    <w:rsid w:val="00E31752"/>
    <w:rsid w:val="00E56F03"/>
    <w:rsid w:val="00EB0966"/>
    <w:rsid w:val="00EB5058"/>
    <w:rsid w:val="00EB564D"/>
    <w:rsid w:val="00EE5611"/>
    <w:rsid w:val="00EF0484"/>
    <w:rsid w:val="00EF1EF3"/>
    <w:rsid w:val="00EF4D59"/>
    <w:rsid w:val="00F11AF9"/>
    <w:rsid w:val="00F2122D"/>
    <w:rsid w:val="00F23743"/>
    <w:rsid w:val="00F246BB"/>
    <w:rsid w:val="00F2726B"/>
    <w:rsid w:val="00F368BA"/>
    <w:rsid w:val="00F51EB4"/>
    <w:rsid w:val="00F57C3F"/>
    <w:rsid w:val="00F617EE"/>
    <w:rsid w:val="00F62E84"/>
    <w:rsid w:val="00F64D83"/>
    <w:rsid w:val="00F77319"/>
    <w:rsid w:val="00F87B66"/>
    <w:rsid w:val="00FA5C2B"/>
    <w:rsid w:val="00FC3A0E"/>
    <w:rsid w:val="00FD1349"/>
    <w:rsid w:val="00FF4F35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EF70A40"/>
  <w15:docId w15:val="{20A8F071-253B-4CBA-A2F4-0765FFF1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1FB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AC7955"/>
    <w:rPr>
      <w:b/>
      <w:bCs/>
      <w:smallCaps/>
      <w:spacing w:val="5"/>
    </w:rPr>
  </w:style>
  <w:style w:type="table" w:styleId="Listaclara-nfasis2">
    <w:name w:val="Light List Accent 2"/>
    <w:basedOn w:val="Tablanormal"/>
    <w:uiPriority w:val="61"/>
    <w:rsid w:val="008F48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68"/>
  </w:style>
  <w:style w:type="paragraph" w:styleId="Piedepgina">
    <w:name w:val="footer"/>
    <w:basedOn w:val="Normal"/>
    <w:link w:val="PiedepginaC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68"/>
  </w:style>
  <w:style w:type="paragraph" w:styleId="Textonotapie">
    <w:name w:val="footnote text"/>
    <w:basedOn w:val="Normal"/>
    <w:link w:val="TextonotapieCar"/>
    <w:uiPriority w:val="99"/>
    <w:semiHidden/>
    <w:unhideWhenUsed/>
    <w:rsid w:val="00E56F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6F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6F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56F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CAC475AFB66A43B2316B05CBFB6904" ma:contentTypeVersion="3" ma:contentTypeDescription="Crear nuevo documento." ma:contentTypeScope="" ma:versionID="fbb4a129c93cd6e6f13386079142a039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2bfcf546868ddb10d17b3bf88d5500c9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labras clave de empresa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Props1.xml><?xml version="1.0" encoding="utf-8"?>
<ds:datastoreItem xmlns:ds="http://schemas.openxmlformats.org/officeDocument/2006/customXml" ds:itemID="{2897E423-DEC5-4A74-8FBF-3B5D57DA6D2A}"/>
</file>

<file path=customXml/itemProps2.xml><?xml version="1.0" encoding="utf-8"?>
<ds:datastoreItem xmlns:ds="http://schemas.openxmlformats.org/officeDocument/2006/customXml" ds:itemID="{A52890EF-DE4A-472E-9E52-6F4ECC313D59}"/>
</file>

<file path=customXml/itemProps3.xml><?xml version="1.0" encoding="utf-8"?>
<ds:datastoreItem xmlns:ds="http://schemas.openxmlformats.org/officeDocument/2006/customXml" ds:itemID="{43EF0A62-DEC1-4970-86E9-C9AEE08DE9AC}"/>
</file>

<file path=customXml/itemProps4.xml><?xml version="1.0" encoding="utf-8"?>
<ds:datastoreItem xmlns:ds="http://schemas.openxmlformats.org/officeDocument/2006/customXml" ds:itemID="{8851A248-2F50-4F6A-A613-F0A946FE7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 la Paz-Pérez Farca</dc:creator>
  <cp:keywords/>
  <dc:description/>
  <cp:lastModifiedBy>Marta Acosta</cp:lastModifiedBy>
  <cp:revision>13</cp:revision>
  <cp:lastPrinted>2015-11-23T17:16:00Z</cp:lastPrinted>
  <dcterms:created xsi:type="dcterms:W3CDTF">2019-04-01T14:21:00Z</dcterms:created>
  <dcterms:modified xsi:type="dcterms:W3CDTF">2019-04-01T20:03:00Z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0x01010079CAC475AFB66A43B2316B05CBFB6904</vt:lpwstr>
  </property>
</Properties>
</file>