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68" w:rsidRPr="008F4832" w:rsidRDefault="00231614" w:rsidP="008F4832">
      <w:pPr>
        <w:pStyle w:val="Prrafodelista"/>
        <w:spacing w:after="0"/>
        <w:jc w:val="both"/>
        <w:rPr>
          <w:rFonts w:ascii="Arial" w:hAnsi="Arial" w:cs="Arial"/>
          <w:b/>
          <w:sz w:val="24"/>
          <w:szCs w:val="24"/>
        </w:rPr>
      </w:pPr>
      <w:bookmarkStart w:id="0" w:name="_GoBack"/>
      <w:bookmarkEnd w:id="0"/>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69"/>
        <w:gridCol w:w="8447"/>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9E2A68" w:rsidP="008F4832">
            <w:pPr>
              <w:spacing w:line="276" w:lineRule="auto"/>
              <w:jc w:val="center"/>
              <w:rPr>
                <w:rFonts w:ascii="Arial" w:eastAsia="Times New Roman" w:hAnsi="Arial" w:cs="Arial"/>
                <w:iCs/>
                <w:smallCaps/>
                <w:sz w:val="24"/>
                <w:szCs w:val="24"/>
              </w:rPr>
            </w:pPr>
            <w:r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p>
        </w:tc>
      </w:tr>
      <w:tr w:rsidR="00522F6E"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vAlign w:val="center"/>
          </w:tcPr>
          <w:p w:rsidR="00486A8A" w:rsidRPr="009E2A68" w:rsidRDefault="00080A7F"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Chile. Consejo para la Transparencia.</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Pr="00882CA0" w:rsidRDefault="0061563C" w:rsidP="00882CA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A</w:t>
            </w:r>
            <w:r w:rsidR="009E2A68" w:rsidRPr="00882CA0">
              <w:rPr>
                <w:rFonts w:ascii="Arial" w:eastAsia="Times New Roman" w:hAnsi="Arial" w:cs="Arial"/>
                <w:sz w:val="24"/>
                <w:szCs w:val="24"/>
                <w:lang w:val="es-MX" w:eastAsia="es-ES"/>
              </w:rPr>
              <w:t xml:space="preserve"> fin de delimitar el tema, </w:t>
            </w:r>
            <w:r w:rsidR="00287734" w:rsidRPr="00882CA0">
              <w:rPr>
                <w:rFonts w:ascii="Arial" w:eastAsia="Times New Roman" w:hAnsi="Arial" w:cs="Arial"/>
                <w:sz w:val="24"/>
                <w:szCs w:val="24"/>
                <w:lang w:val="es-MX" w:eastAsia="es-ES"/>
              </w:rPr>
              <w:t xml:space="preserve">a continuación </w:t>
            </w:r>
            <w:r w:rsidRPr="00882CA0">
              <w:rPr>
                <w:rFonts w:ascii="Arial" w:eastAsia="Times New Roman" w:hAnsi="Arial" w:cs="Arial"/>
                <w:sz w:val="24"/>
                <w:szCs w:val="24"/>
                <w:lang w:val="es-MX" w:eastAsia="es-ES"/>
              </w:rPr>
              <w:t>se desarrollan</w:t>
            </w:r>
            <w:r w:rsidR="009E2A68" w:rsidRPr="00882CA0">
              <w:rPr>
                <w:rFonts w:ascii="Arial" w:eastAsia="Times New Roman" w:hAnsi="Arial" w:cs="Arial"/>
                <w:sz w:val="24"/>
                <w:szCs w:val="24"/>
                <w:lang w:val="es-MX" w:eastAsia="es-ES"/>
              </w:rPr>
              <w:t xml:space="preserve"> algunas reflexiones </w:t>
            </w:r>
            <w:r w:rsidRPr="00882CA0">
              <w:rPr>
                <w:rFonts w:ascii="Arial" w:eastAsia="Times New Roman" w:hAnsi="Arial" w:cs="Arial"/>
                <w:sz w:val="24"/>
                <w:szCs w:val="24"/>
                <w:lang w:val="es-MX" w:eastAsia="es-ES"/>
              </w:rPr>
              <w:t>que pueden servir</w:t>
            </w:r>
            <w:r w:rsidR="009E2A68" w:rsidRPr="00882CA0">
              <w:rPr>
                <w:rFonts w:ascii="Arial" w:eastAsia="Times New Roman" w:hAnsi="Arial" w:cs="Arial"/>
                <w:sz w:val="24"/>
                <w:szCs w:val="24"/>
                <w:lang w:val="es-MX" w:eastAsia="es-ES"/>
              </w:rPr>
              <w:t xml:space="preserve"> como facilitadores del debate:</w:t>
            </w:r>
          </w:p>
          <w:p w:rsidR="009E2A68" w:rsidRPr="00882CA0" w:rsidRDefault="009E2A68" w:rsidP="00882CA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882CA0" w:rsidRDefault="009E2A68"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w:t>
            </w:r>
            <w:r w:rsidR="0061563C" w:rsidRPr="00882CA0">
              <w:rPr>
                <w:rFonts w:ascii="Arial" w:eastAsia="Times New Roman" w:hAnsi="Arial" w:cs="Arial"/>
                <w:sz w:val="24"/>
                <w:szCs w:val="24"/>
                <w:lang w:val="es-MX" w:eastAsia="es-ES"/>
              </w:rPr>
              <w:t xml:space="preserve">Qué se entiende por derechos económicos y comerciales en su </w:t>
            </w:r>
            <w:r w:rsidR="006935C8" w:rsidRPr="00882CA0">
              <w:rPr>
                <w:rFonts w:ascii="Arial" w:eastAsia="Times New Roman" w:hAnsi="Arial" w:cs="Arial"/>
                <w:sz w:val="24"/>
                <w:szCs w:val="24"/>
                <w:lang w:val="es-MX" w:eastAsia="es-ES"/>
              </w:rPr>
              <w:t>legislación</w:t>
            </w:r>
            <w:r w:rsidRPr="00882CA0">
              <w:rPr>
                <w:rFonts w:ascii="Arial" w:eastAsia="Times New Roman" w:hAnsi="Arial" w:cs="Arial"/>
                <w:sz w:val="24"/>
                <w:szCs w:val="24"/>
                <w:lang w:val="es-MX" w:eastAsia="es-ES"/>
              </w:rPr>
              <w:t>?</w:t>
            </w:r>
          </w:p>
          <w:p w:rsidR="00F64D83" w:rsidRDefault="00D50306"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color w:val="FF0000"/>
                <w:sz w:val="24"/>
                <w:szCs w:val="24"/>
                <w:lang w:val="es-MX" w:eastAsia="es-ES"/>
              </w:rPr>
              <w:t xml:space="preserve">El artículo 21 de la Ley de Transparencia establece las causales de secreto o reserva en cuya virtud se podrá denegar total o parcialmente el acceso a la información, entre otras, cuando su publicidad, comunicación o conocimiento afecte los derechos de las personas, particularmente tratándose de derechos de carácter comercial o económico (N° 2), los que deben relacionarse con aquellos establecidos en el artículo 19 de la Constitución Política de la República, especialmente, en sus números </w:t>
            </w:r>
            <w:r w:rsidR="0056589D" w:rsidRPr="00882CA0">
              <w:rPr>
                <w:rFonts w:ascii="Arial" w:eastAsia="Times New Roman" w:hAnsi="Arial" w:cs="Arial"/>
                <w:color w:val="FF0000"/>
                <w:sz w:val="24"/>
                <w:szCs w:val="24"/>
                <w:lang w:val="es-CL" w:eastAsia="es-CL"/>
              </w:rPr>
              <w:t>21º (El derecho a desarrollar cualquiera actividad económica que no sea contraria a la moral, al orden público o a la seguridad nacional, respetando las normas legales que la regulen); 22º (La no discriminación arbitraria en el trato que deben dar el Estado y sus organismos en materia económica); 23º (La libertad para adquirir el dominio de toda clase de bienes, excepto aquellos que la naturaleza ha hecho comunes a todos los hombres o que deban pertenecer a la Nación toda y la ley lo declare así); y 24º (El derecho de propiedad en sus diversas especies sobre toda clase de bienes corporales o incorporales).</w:t>
            </w:r>
            <w:r w:rsidR="0056589D" w:rsidRPr="00882CA0">
              <w:rPr>
                <w:rFonts w:ascii="Arial" w:eastAsia="Times New Roman" w:hAnsi="Arial" w:cs="Arial"/>
                <w:color w:val="FF0000"/>
                <w:sz w:val="24"/>
                <w:szCs w:val="24"/>
                <w:lang w:val="es-CL" w:eastAsia="es-CL"/>
              </w:rPr>
              <w:br/>
            </w:r>
          </w:p>
          <w:p w:rsid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82CA0" w:rsidRP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6589D" w:rsidRPr="00882CA0" w:rsidRDefault="0056589D"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lastRenderedPageBreak/>
              <w:t>¿Quiénes son los titulares de los derechos económicos y comerciales dentro de su jurisdicción?</w:t>
            </w:r>
          </w:p>
          <w:p w:rsidR="0056589D" w:rsidRPr="00882CA0" w:rsidRDefault="0056589D"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Pueden ser titulares de dichos derechos tanto las personas naturales como las jurídicas</w:t>
            </w:r>
            <w:r w:rsidR="000510E2" w:rsidRPr="00882CA0">
              <w:rPr>
                <w:rFonts w:ascii="Arial" w:eastAsia="Times New Roman" w:hAnsi="Arial" w:cs="Arial"/>
                <w:color w:val="FF0000"/>
                <w:sz w:val="24"/>
                <w:szCs w:val="24"/>
                <w:lang w:val="es-MX" w:eastAsia="es-ES"/>
              </w:rPr>
              <w:t>.</w:t>
            </w:r>
          </w:p>
          <w:p w:rsidR="00080A7F" w:rsidRPr="00882CA0" w:rsidRDefault="00080A7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9E2A68" w:rsidRPr="00882CA0" w:rsidRDefault="009E2A68"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w:t>
            </w:r>
            <w:r w:rsidR="0061563C" w:rsidRPr="00882CA0">
              <w:rPr>
                <w:rFonts w:ascii="Arial" w:eastAsia="Times New Roman" w:hAnsi="Arial" w:cs="Arial"/>
                <w:sz w:val="24"/>
                <w:szCs w:val="24"/>
                <w:lang w:val="es-MX" w:eastAsia="es-ES"/>
              </w:rPr>
              <w:t>Qué tipo de información suele ser proporcionada a los sujetos obligados</w:t>
            </w:r>
            <w:r w:rsidR="00F64D83" w:rsidRPr="00882CA0">
              <w:rPr>
                <w:rFonts w:ascii="Arial" w:eastAsia="Times New Roman" w:hAnsi="Arial" w:cs="Arial"/>
                <w:sz w:val="24"/>
                <w:szCs w:val="24"/>
                <w:lang w:val="es-MX" w:eastAsia="es-ES"/>
              </w:rPr>
              <w:t xml:space="preserve"> (en materia de acceso a la información)</w:t>
            </w:r>
            <w:r w:rsidR="0061563C" w:rsidRPr="00882CA0">
              <w:rPr>
                <w:rFonts w:ascii="Arial" w:eastAsia="Times New Roman" w:hAnsi="Arial" w:cs="Arial"/>
                <w:sz w:val="24"/>
                <w:szCs w:val="24"/>
                <w:lang w:val="es-MX" w:eastAsia="es-ES"/>
              </w:rPr>
              <w:t xml:space="preserve"> por</w:t>
            </w:r>
            <w:r w:rsidR="00287734" w:rsidRPr="00882CA0">
              <w:rPr>
                <w:rFonts w:ascii="Arial" w:eastAsia="Times New Roman" w:hAnsi="Arial" w:cs="Arial"/>
                <w:sz w:val="24"/>
                <w:szCs w:val="24"/>
                <w:lang w:val="es-MX" w:eastAsia="es-ES"/>
              </w:rPr>
              <w:t xml:space="preserve"> los</w:t>
            </w:r>
            <w:r w:rsidR="0061563C" w:rsidRPr="00882CA0">
              <w:rPr>
                <w:rFonts w:ascii="Arial" w:eastAsia="Times New Roman" w:hAnsi="Arial" w:cs="Arial"/>
                <w:sz w:val="24"/>
                <w:szCs w:val="24"/>
                <w:lang w:val="es-MX" w:eastAsia="es-ES"/>
              </w:rPr>
              <w:t xml:space="preserve"> </w:t>
            </w:r>
            <w:r w:rsidR="00F64D83" w:rsidRPr="00882CA0">
              <w:rPr>
                <w:rFonts w:ascii="Arial" w:eastAsia="Times New Roman" w:hAnsi="Arial" w:cs="Arial"/>
                <w:sz w:val="24"/>
                <w:szCs w:val="24"/>
                <w:lang w:val="es-MX" w:eastAsia="es-ES"/>
              </w:rPr>
              <w:t>terceros</w:t>
            </w:r>
            <w:r w:rsidR="00287734" w:rsidRPr="00882CA0">
              <w:rPr>
                <w:rFonts w:ascii="Arial" w:eastAsia="Times New Roman" w:hAnsi="Arial" w:cs="Arial"/>
                <w:sz w:val="24"/>
                <w:szCs w:val="24"/>
                <w:lang w:val="es-MX" w:eastAsia="es-ES"/>
              </w:rPr>
              <w:t>?</w:t>
            </w:r>
          </w:p>
          <w:p w:rsidR="007134F1" w:rsidRPr="00882CA0" w:rsidRDefault="005D6776"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En general, la información se puede entregar</w:t>
            </w:r>
            <w:r w:rsidR="007134F1" w:rsidRPr="00882CA0">
              <w:rPr>
                <w:rFonts w:ascii="Arial" w:eastAsia="Times New Roman" w:hAnsi="Arial" w:cs="Arial"/>
                <w:color w:val="FF0000"/>
                <w:sz w:val="24"/>
                <w:szCs w:val="24"/>
                <w:lang w:val="es-MX" w:eastAsia="es-ES"/>
              </w:rPr>
              <w:t xml:space="preserve"> por el tercero a la autoridad</w:t>
            </w:r>
            <w:r w:rsidRPr="00882CA0">
              <w:rPr>
                <w:rFonts w:ascii="Arial" w:eastAsia="Times New Roman" w:hAnsi="Arial" w:cs="Arial"/>
                <w:color w:val="FF0000"/>
                <w:sz w:val="24"/>
                <w:szCs w:val="24"/>
                <w:lang w:val="es-MX" w:eastAsia="es-ES"/>
              </w:rPr>
              <w:t xml:space="preserve"> en cumplimiento de </w:t>
            </w:r>
            <w:r w:rsidR="007134F1" w:rsidRPr="00882CA0">
              <w:rPr>
                <w:rFonts w:ascii="Arial" w:eastAsia="Times New Roman" w:hAnsi="Arial" w:cs="Arial"/>
                <w:color w:val="FF0000"/>
                <w:sz w:val="24"/>
                <w:szCs w:val="24"/>
                <w:lang w:val="es-MX" w:eastAsia="es-ES"/>
              </w:rPr>
              <w:t>distintas</w:t>
            </w:r>
            <w:r w:rsidRPr="00882CA0">
              <w:rPr>
                <w:rFonts w:ascii="Arial" w:eastAsia="Times New Roman" w:hAnsi="Arial" w:cs="Arial"/>
                <w:color w:val="FF0000"/>
                <w:sz w:val="24"/>
                <w:szCs w:val="24"/>
                <w:lang w:val="es-MX" w:eastAsia="es-ES"/>
              </w:rPr>
              <w:t xml:space="preserve"> finalidades, como por ejemplo, la obtención de una autorización, permiso o licencia; </w:t>
            </w:r>
            <w:r w:rsidR="007134F1" w:rsidRPr="00882CA0">
              <w:rPr>
                <w:rFonts w:ascii="Arial" w:eastAsia="Times New Roman" w:hAnsi="Arial" w:cs="Arial"/>
                <w:color w:val="FF0000"/>
                <w:sz w:val="24"/>
                <w:szCs w:val="24"/>
                <w:lang w:val="es-MX" w:eastAsia="es-ES"/>
              </w:rPr>
              <w:t xml:space="preserve">como requisito de </w:t>
            </w:r>
            <w:r w:rsidRPr="00882CA0">
              <w:rPr>
                <w:rFonts w:ascii="Arial" w:eastAsia="Times New Roman" w:hAnsi="Arial" w:cs="Arial"/>
                <w:color w:val="FF0000"/>
                <w:sz w:val="24"/>
                <w:szCs w:val="24"/>
                <w:lang w:val="es-MX" w:eastAsia="es-ES"/>
              </w:rPr>
              <w:t xml:space="preserve">postulación a licitaciones, proyectos, becas en que se adjudiquen fondos públicos; la que sea requerida por los órganos encargados de supervigilar el cumplimiento de la normativa de cada uno de los sectores productivos que le corresponde a la Administración del Estado. Por lo tanto, la información es variada, como por ejemplo, antecedentes comerciales, tributarios, aduaneros, financieros, laborales, de crédito, de la actividad económica que se desempeña, de propiedad industrial, </w:t>
            </w:r>
            <w:r w:rsidR="007134F1" w:rsidRPr="00882CA0">
              <w:rPr>
                <w:rFonts w:ascii="Arial" w:eastAsia="Times New Roman" w:hAnsi="Arial" w:cs="Arial"/>
                <w:color w:val="FF0000"/>
                <w:sz w:val="24"/>
                <w:szCs w:val="24"/>
                <w:lang w:val="es-MX" w:eastAsia="es-ES"/>
              </w:rPr>
              <w:t xml:space="preserve">ya sea </w:t>
            </w:r>
            <w:r w:rsidRPr="00882CA0">
              <w:rPr>
                <w:rFonts w:ascii="Arial" w:eastAsia="Times New Roman" w:hAnsi="Arial" w:cs="Arial"/>
                <w:color w:val="FF0000"/>
                <w:sz w:val="24"/>
                <w:szCs w:val="24"/>
                <w:lang w:val="es-MX" w:eastAsia="es-ES"/>
              </w:rPr>
              <w:t>patentes</w:t>
            </w:r>
            <w:r w:rsidR="007134F1" w:rsidRPr="00882CA0">
              <w:rPr>
                <w:rFonts w:ascii="Arial" w:eastAsia="Times New Roman" w:hAnsi="Arial" w:cs="Arial"/>
                <w:color w:val="FF0000"/>
                <w:sz w:val="24"/>
                <w:szCs w:val="24"/>
                <w:lang w:val="es-MX" w:eastAsia="es-ES"/>
              </w:rPr>
              <w:t xml:space="preserve">, </w:t>
            </w:r>
            <w:r w:rsidRPr="00882CA0">
              <w:rPr>
                <w:rFonts w:ascii="Arial" w:eastAsia="Times New Roman" w:hAnsi="Arial" w:cs="Arial"/>
                <w:color w:val="FF0000"/>
                <w:sz w:val="24"/>
                <w:szCs w:val="24"/>
                <w:lang w:val="es-MX" w:eastAsia="es-ES"/>
              </w:rPr>
              <w:t>licencias</w:t>
            </w:r>
            <w:r w:rsidR="007134F1" w:rsidRPr="00882CA0">
              <w:rPr>
                <w:rFonts w:ascii="Arial" w:eastAsia="Times New Roman" w:hAnsi="Arial" w:cs="Arial"/>
                <w:color w:val="FF0000"/>
                <w:sz w:val="24"/>
                <w:szCs w:val="24"/>
                <w:lang w:val="es-MX" w:eastAsia="es-ES"/>
              </w:rPr>
              <w:t xml:space="preserve"> o know-how de determinados productos, planos, individualización de maquinarias, etc.</w:t>
            </w:r>
          </w:p>
          <w:p w:rsidR="000510E2" w:rsidRPr="00882CA0" w:rsidRDefault="000510E2"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Pr="00882CA0" w:rsidRDefault="009E2A68"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w:t>
            </w:r>
            <w:r w:rsidR="00287734" w:rsidRPr="00882CA0">
              <w:rPr>
                <w:rFonts w:ascii="Arial" w:eastAsia="Times New Roman" w:hAnsi="Arial" w:cs="Arial"/>
                <w:sz w:val="24"/>
                <w:szCs w:val="24"/>
                <w:lang w:val="es-MX" w:eastAsia="es-ES"/>
              </w:rPr>
              <w:t>Cuáles son los parámetros de confidencialidad de la información que se encuentran establecidos en su normativa vigente?</w:t>
            </w:r>
          </w:p>
          <w:p w:rsidR="00AB3CC1" w:rsidRPr="00882CA0" w:rsidRDefault="008F52E7"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Como principio general se debe tener presente que en virtud de lo dispuesto en el artículo 8°, inciso segundo</w:t>
            </w:r>
            <w:r w:rsidR="00080A7F" w:rsidRPr="00882CA0">
              <w:rPr>
                <w:rFonts w:ascii="Arial" w:eastAsia="Times New Roman" w:hAnsi="Arial" w:cs="Arial"/>
                <w:color w:val="FF0000"/>
                <w:sz w:val="24"/>
                <w:szCs w:val="24"/>
                <w:lang w:val="es-MX" w:eastAsia="es-ES"/>
              </w:rPr>
              <w:t>,</w:t>
            </w:r>
            <w:r w:rsidRPr="00882CA0">
              <w:rPr>
                <w:rFonts w:ascii="Arial" w:eastAsia="Times New Roman" w:hAnsi="Arial" w:cs="Arial"/>
                <w:color w:val="FF0000"/>
                <w:sz w:val="24"/>
                <w:szCs w:val="24"/>
                <w:lang w:val="es-MX" w:eastAsia="es-ES"/>
              </w:rPr>
              <w:t xml:space="preserve"> de la Con</w:t>
            </w:r>
            <w:r w:rsidR="000510E2" w:rsidRPr="00882CA0">
              <w:rPr>
                <w:rFonts w:ascii="Arial" w:eastAsia="Times New Roman" w:hAnsi="Arial" w:cs="Arial"/>
                <w:color w:val="FF0000"/>
                <w:sz w:val="24"/>
                <w:szCs w:val="24"/>
                <w:lang w:val="es-MX" w:eastAsia="es-ES"/>
              </w:rPr>
              <w:t xml:space="preserve">stitución Política de la República </w:t>
            </w:r>
            <w:r w:rsidRPr="00882CA0">
              <w:rPr>
                <w:rFonts w:ascii="Arial" w:eastAsia="Times New Roman" w:hAnsi="Arial" w:cs="Arial"/>
                <w:color w:val="FF0000"/>
                <w:sz w:val="24"/>
                <w:szCs w:val="24"/>
                <w:lang w:val="es-MX" w:eastAsia="es-ES"/>
              </w:rPr>
              <w:t>con relación al</w:t>
            </w:r>
            <w:r w:rsidR="000510E2" w:rsidRPr="00882CA0">
              <w:rPr>
                <w:rFonts w:ascii="Arial" w:eastAsia="Times New Roman" w:hAnsi="Arial" w:cs="Arial"/>
                <w:color w:val="FF0000"/>
                <w:sz w:val="24"/>
                <w:szCs w:val="24"/>
                <w:lang w:val="es-CL" w:eastAsia="es-CL"/>
              </w:rPr>
              <w:t xml:space="preserve"> artículo 5 </w:t>
            </w:r>
            <w:r w:rsidRPr="00882CA0">
              <w:rPr>
                <w:rFonts w:ascii="Arial" w:eastAsia="Times New Roman" w:hAnsi="Arial" w:cs="Arial"/>
                <w:color w:val="FF0000"/>
                <w:sz w:val="24"/>
                <w:szCs w:val="24"/>
                <w:lang w:val="es-CL" w:eastAsia="es-CL"/>
              </w:rPr>
              <w:t xml:space="preserve">de la Ley de Transparencia, toda la información que obre en poder de los órganos de la Administración, cualquiera sea su formato, soporte, fecha de creación, </w:t>
            </w:r>
            <w:r w:rsidRPr="00882CA0">
              <w:rPr>
                <w:rFonts w:ascii="Arial" w:eastAsia="Times New Roman" w:hAnsi="Arial" w:cs="Arial"/>
                <w:color w:val="FF0000"/>
                <w:sz w:val="24"/>
                <w:szCs w:val="24"/>
                <w:lang w:val="es-CL" w:eastAsia="es-CL"/>
              </w:rPr>
              <w:lastRenderedPageBreak/>
              <w:t>origen, clasificación o procesamiento, se considerará como pública. Sin perjuicio de lo cual, se debe considerar respecto de aquella la concurrencia de alguna causal de secreto o reserva establecida en el artículo 21 de la ley mencionada, dentro de las c</w:t>
            </w:r>
            <w:r w:rsidR="00AB3CC1" w:rsidRPr="00882CA0">
              <w:rPr>
                <w:rFonts w:ascii="Arial" w:eastAsia="Times New Roman" w:hAnsi="Arial" w:cs="Arial"/>
                <w:color w:val="FF0000"/>
                <w:sz w:val="24"/>
                <w:szCs w:val="24"/>
                <w:lang w:val="es-CL" w:eastAsia="es-CL"/>
              </w:rPr>
              <w:t xml:space="preserve">uales se </w:t>
            </w:r>
            <w:r w:rsidR="00080A7F" w:rsidRPr="00882CA0">
              <w:rPr>
                <w:rFonts w:ascii="Arial" w:eastAsia="Times New Roman" w:hAnsi="Arial" w:cs="Arial"/>
                <w:color w:val="FF0000"/>
                <w:sz w:val="24"/>
                <w:szCs w:val="24"/>
                <w:lang w:val="es-CL" w:eastAsia="es-CL"/>
              </w:rPr>
              <w:t>señala</w:t>
            </w:r>
            <w:r w:rsidR="00AB3CC1" w:rsidRPr="00882CA0">
              <w:rPr>
                <w:rFonts w:ascii="Arial" w:eastAsia="Times New Roman" w:hAnsi="Arial" w:cs="Arial"/>
                <w:color w:val="FF0000"/>
                <w:sz w:val="24"/>
                <w:szCs w:val="24"/>
                <w:lang w:val="es-CL" w:eastAsia="es-CL"/>
              </w:rPr>
              <w:t xml:space="preserve"> expresamente, cuando se divulgación </w:t>
            </w:r>
            <w:r w:rsidR="00AB3CC1" w:rsidRPr="00882CA0">
              <w:rPr>
                <w:rFonts w:ascii="Arial" w:eastAsia="Times New Roman" w:hAnsi="Arial" w:cs="Arial"/>
                <w:color w:val="FF0000"/>
                <w:sz w:val="24"/>
                <w:szCs w:val="24"/>
                <w:lang w:val="es-MX" w:eastAsia="es-ES"/>
              </w:rPr>
              <w:t xml:space="preserve">afecte los derechos de carácter comercial o económico de las personas(N° 2), así como también, en caso de que cuando se trate de documentos, datos o informaciones que una ley de quórum calificado haya declarado secretos o reservados, de acuerdo a las causales señaladas en el artículo 8 citado precedentemente, esto es, </w:t>
            </w:r>
            <w:r w:rsidR="00AB3CC1" w:rsidRPr="00882CA0">
              <w:rPr>
                <w:rFonts w:ascii="Arial" w:eastAsia="Times New Roman" w:hAnsi="Arial" w:cs="Arial"/>
                <w:color w:val="FF0000"/>
                <w:sz w:val="24"/>
                <w:szCs w:val="24"/>
                <w:lang w:val="es-CL" w:eastAsia="es-CL"/>
              </w:rPr>
              <w:t xml:space="preserve">cuando la publicidad afectare el debido cumplimiento de las funciones de dichos órganos, los derechos de las personas, la seguridad de la Nación o el interés nacional. Como por ejemplo, el artículo 35 del Código Tributario que establece el </w:t>
            </w:r>
            <w:r w:rsidR="00080A7F" w:rsidRPr="00882CA0">
              <w:rPr>
                <w:rFonts w:ascii="Arial" w:eastAsia="Times New Roman" w:hAnsi="Arial" w:cs="Arial"/>
                <w:color w:val="FF0000"/>
                <w:sz w:val="24"/>
                <w:szCs w:val="24"/>
                <w:lang w:val="es-CL" w:eastAsia="es-CL"/>
              </w:rPr>
              <w:t xml:space="preserve">denominado </w:t>
            </w:r>
            <w:r w:rsidR="00AB3CC1" w:rsidRPr="00882CA0">
              <w:rPr>
                <w:rFonts w:ascii="Arial" w:eastAsia="Times New Roman" w:hAnsi="Arial" w:cs="Arial"/>
                <w:color w:val="FF0000"/>
                <w:sz w:val="24"/>
                <w:szCs w:val="24"/>
                <w:lang w:val="es-CL" w:eastAsia="es-CL"/>
              </w:rPr>
              <w:t>secreto tributario.</w:t>
            </w:r>
          </w:p>
          <w:p w:rsidR="000510E2" w:rsidRPr="00882CA0" w:rsidRDefault="000510E2"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9E2A68" w:rsidRPr="00882CA0" w:rsidRDefault="00287734"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 xml:space="preserve">¿En su </w:t>
            </w:r>
            <w:r w:rsidR="006935C8" w:rsidRPr="00882CA0">
              <w:rPr>
                <w:rFonts w:ascii="Arial" w:eastAsia="Times New Roman" w:hAnsi="Arial" w:cs="Arial"/>
                <w:sz w:val="24"/>
                <w:szCs w:val="24"/>
                <w:lang w:val="es-MX" w:eastAsia="es-ES"/>
              </w:rPr>
              <w:t>legislación</w:t>
            </w:r>
            <w:r w:rsidRPr="00882CA0">
              <w:rPr>
                <w:rFonts w:ascii="Arial" w:eastAsia="Times New Roman" w:hAnsi="Arial" w:cs="Arial"/>
                <w:sz w:val="24"/>
                <w:szCs w:val="24"/>
                <w:lang w:val="es-MX" w:eastAsia="es-ES"/>
              </w:rPr>
              <w:t xml:space="preserve"> se contempla la figura de entrega en </w:t>
            </w:r>
            <w:r w:rsidRPr="00882CA0">
              <w:rPr>
                <w:rFonts w:ascii="Arial" w:eastAsia="Times New Roman" w:hAnsi="Arial" w:cs="Arial"/>
                <w:b/>
                <w:sz w:val="24"/>
                <w:szCs w:val="24"/>
                <w:lang w:val="es-MX" w:eastAsia="es-ES"/>
              </w:rPr>
              <w:t>versión pública</w:t>
            </w:r>
            <w:r w:rsidRPr="00882CA0">
              <w:rPr>
                <w:rFonts w:ascii="Arial" w:eastAsia="Times New Roman" w:hAnsi="Arial" w:cs="Arial"/>
                <w:sz w:val="24"/>
                <w:szCs w:val="24"/>
                <w:lang w:val="es-MX" w:eastAsia="es-ES"/>
              </w:rPr>
              <w:t xml:space="preserve">, esto es la entrega de </w:t>
            </w:r>
            <w:r w:rsidRPr="00882CA0">
              <w:rPr>
                <w:rFonts w:ascii="Arial" w:eastAsia="Times New Roman" w:hAnsi="Arial" w:cs="Arial"/>
                <w:sz w:val="24"/>
                <w:szCs w:val="24"/>
                <w:lang w:eastAsia="es-ES"/>
              </w:rPr>
              <w:t>documentos o expedientes en el que se da acceso a información eliminando u omitiendo las partes o secciones clasificadas</w:t>
            </w:r>
            <w:r w:rsidR="00150183" w:rsidRPr="00882CA0">
              <w:rPr>
                <w:rFonts w:ascii="Arial" w:eastAsia="Times New Roman" w:hAnsi="Arial" w:cs="Arial"/>
                <w:sz w:val="24"/>
                <w:szCs w:val="24"/>
                <w:lang w:val="es-MX" w:eastAsia="es-ES"/>
              </w:rPr>
              <w:t>?</w:t>
            </w:r>
          </w:p>
          <w:p w:rsidR="00AB3CC1" w:rsidRPr="00882CA0" w:rsidRDefault="00536602"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La L</w:t>
            </w:r>
            <w:r w:rsidR="00AB3CC1" w:rsidRPr="00882CA0">
              <w:rPr>
                <w:rFonts w:ascii="Arial" w:eastAsia="Times New Roman" w:hAnsi="Arial" w:cs="Arial"/>
                <w:color w:val="FF0000"/>
                <w:sz w:val="24"/>
                <w:szCs w:val="24"/>
                <w:lang w:val="es-MX" w:eastAsia="es-ES"/>
              </w:rPr>
              <w:t>ey de Transparencia</w:t>
            </w:r>
            <w:r w:rsidR="00F714D4" w:rsidRPr="00882CA0">
              <w:rPr>
                <w:rFonts w:ascii="Arial" w:eastAsia="Times New Roman" w:hAnsi="Arial" w:cs="Arial"/>
                <w:color w:val="FF0000"/>
                <w:sz w:val="24"/>
                <w:szCs w:val="24"/>
                <w:lang w:val="es-MX" w:eastAsia="es-ES"/>
              </w:rPr>
              <w:t xml:space="preserve"> reconoce dentro de los principios del derecho de acceso a la información, el de divisibilidad, en virtud del cual si un acto administrativo contiene información que puede ser conocida e información que debe denegarse en virtud de causa legal, se dará acceso a la primera y no a la segunda (artículo 11, letra e).</w:t>
            </w:r>
          </w:p>
          <w:p w:rsidR="00080A7F" w:rsidRDefault="00080A7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882CA0" w:rsidRPr="00882CA0" w:rsidRDefault="00882CA0"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150183" w:rsidRPr="00882CA0" w:rsidRDefault="00150183"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lastRenderedPageBreak/>
              <w:t>Actualmente ¿cuál es el proceso que se sigue en su Institución para dar acceso o en su caso, negar el mismo, a información de terceros que incluyan datos relacionados con derechos económicos y comerciales?</w:t>
            </w:r>
          </w:p>
          <w:p w:rsidR="00F714D4" w:rsidRPr="00882CA0" w:rsidRDefault="00F714D4"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La aplicación por parte del órgano reclamado del artículo 20 de la Ley de Transparencia, en virtud del cual cuando la solicitud de información se refiera a documentos o antecedentes que contengan información que pueda afectar los derechos de terceros, se deberá comunicar a estos, el requerimiento y su facultad de oponerse a su entrega. Deducida la oposición en tiempo y forma, el órgano requerido quedará impedido de proporcionar la documentación pedida, salvo resolución en contrario del Consejo para la Transparencia.</w:t>
            </w:r>
          </w:p>
          <w:p w:rsidR="00F714D4" w:rsidRPr="00882CA0" w:rsidRDefault="00F714D4"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 xml:space="preserve">Por su parte, en virtud de lo establecido en el artículo 25 de la ley citada, </w:t>
            </w:r>
            <w:r w:rsidR="009754CF" w:rsidRPr="00882CA0">
              <w:rPr>
                <w:rFonts w:ascii="Arial" w:eastAsia="Times New Roman" w:hAnsi="Arial" w:cs="Arial"/>
                <w:color w:val="FF0000"/>
                <w:sz w:val="24"/>
                <w:szCs w:val="24"/>
                <w:lang w:val="es-MX" w:eastAsia="es-ES"/>
              </w:rPr>
              <w:t xml:space="preserve">si en su oportunidad el tercero no fue notificado de la solicitud, podrá </w:t>
            </w:r>
            <w:r w:rsidR="007134F1" w:rsidRPr="00882CA0">
              <w:rPr>
                <w:rFonts w:ascii="Arial" w:eastAsia="Times New Roman" w:hAnsi="Arial" w:cs="Arial"/>
                <w:color w:val="FF0000"/>
                <w:sz w:val="24"/>
                <w:szCs w:val="24"/>
                <w:lang w:val="es-MX" w:eastAsia="es-ES"/>
              </w:rPr>
              <w:t>hacer valer sus derechos,</w:t>
            </w:r>
            <w:r w:rsidR="009754CF" w:rsidRPr="00882CA0">
              <w:rPr>
                <w:rFonts w:ascii="Arial" w:eastAsia="Times New Roman" w:hAnsi="Arial" w:cs="Arial"/>
                <w:color w:val="FF0000"/>
                <w:sz w:val="24"/>
                <w:szCs w:val="24"/>
                <w:lang w:val="es-MX" w:eastAsia="es-ES"/>
              </w:rPr>
              <w:t xml:space="preserve"> con ocasión de</w:t>
            </w:r>
            <w:r w:rsidR="007134F1" w:rsidRPr="00882CA0">
              <w:rPr>
                <w:rFonts w:ascii="Arial" w:eastAsia="Times New Roman" w:hAnsi="Arial" w:cs="Arial"/>
                <w:color w:val="FF0000"/>
                <w:sz w:val="24"/>
                <w:szCs w:val="24"/>
                <w:lang w:val="es-MX" w:eastAsia="es-ES"/>
              </w:rPr>
              <w:t xml:space="preserve"> </w:t>
            </w:r>
            <w:r w:rsidR="009754CF" w:rsidRPr="00882CA0">
              <w:rPr>
                <w:rFonts w:ascii="Arial" w:eastAsia="Times New Roman" w:hAnsi="Arial" w:cs="Arial"/>
                <w:color w:val="FF0000"/>
                <w:sz w:val="24"/>
                <w:szCs w:val="24"/>
                <w:lang w:val="es-MX" w:eastAsia="es-ES"/>
              </w:rPr>
              <w:t>l</w:t>
            </w:r>
            <w:r w:rsidR="007134F1" w:rsidRPr="00882CA0">
              <w:rPr>
                <w:rFonts w:ascii="Arial" w:eastAsia="Times New Roman" w:hAnsi="Arial" w:cs="Arial"/>
                <w:color w:val="FF0000"/>
                <w:sz w:val="24"/>
                <w:szCs w:val="24"/>
                <w:lang w:val="es-MX" w:eastAsia="es-ES"/>
              </w:rPr>
              <w:t>a</w:t>
            </w:r>
            <w:r w:rsidR="009754CF" w:rsidRPr="00882CA0">
              <w:rPr>
                <w:rFonts w:ascii="Arial" w:eastAsia="Times New Roman" w:hAnsi="Arial" w:cs="Arial"/>
                <w:color w:val="FF0000"/>
                <w:sz w:val="24"/>
                <w:szCs w:val="24"/>
                <w:lang w:val="es-MX" w:eastAsia="es-ES"/>
              </w:rPr>
              <w:t xml:space="preserve"> </w:t>
            </w:r>
            <w:r w:rsidR="007134F1" w:rsidRPr="00882CA0">
              <w:rPr>
                <w:rFonts w:ascii="Arial" w:eastAsia="Times New Roman" w:hAnsi="Arial" w:cs="Arial"/>
                <w:color w:val="FF0000"/>
                <w:sz w:val="24"/>
                <w:szCs w:val="24"/>
                <w:lang w:val="es-MX" w:eastAsia="es-ES"/>
              </w:rPr>
              <w:t xml:space="preserve">notificación del </w:t>
            </w:r>
            <w:r w:rsidR="009754CF" w:rsidRPr="00882CA0">
              <w:rPr>
                <w:rFonts w:ascii="Arial" w:eastAsia="Times New Roman" w:hAnsi="Arial" w:cs="Arial"/>
                <w:color w:val="FF0000"/>
                <w:sz w:val="24"/>
                <w:szCs w:val="24"/>
                <w:lang w:val="es-MX" w:eastAsia="es-ES"/>
              </w:rPr>
              <w:t>amparo</w:t>
            </w:r>
            <w:r w:rsidR="007134F1" w:rsidRPr="00882CA0">
              <w:rPr>
                <w:rFonts w:ascii="Arial" w:eastAsia="Times New Roman" w:hAnsi="Arial" w:cs="Arial"/>
                <w:color w:val="FF0000"/>
                <w:sz w:val="24"/>
                <w:szCs w:val="24"/>
                <w:lang w:val="es-MX" w:eastAsia="es-ES"/>
              </w:rPr>
              <w:t xml:space="preserve"> deducido ante el CPLT</w:t>
            </w:r>
            <w:r w:rsidR="009754CF" w:rsidRPr="00882CA0">
              <w:rPr>
                <w:rFonts w:ascii="Arial" w:eastAsia="Times New Roman" w:hAnsi="Arial" w:cs="Arial"/>
                <w:color w:val="FF0000"/>
                <w:sz w:val="24"/>
                <w:szCs w:val="24"/>
                <w:lang w:val="es-MX" w:eastAsia="es-ES"/>
              </w:rPr>
              <w:t>.</w:t>
            </w:r>
          </w:p>
          <w:p w:rsidR="00080A7F" w:rsidRPr="00882CA0" w:rsidRDefault="00080A7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420E96" w:rsidRPr="00882CA0" w:rsidRDefault="00420E96"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 xml:space="preserve">¿En su </w:t>
            </w:r>
            <w:r w:rsidR="006935C8" w:rsidRPr="00882CA0">
              <w:rPr>
                <w:rFonts w:ascii="Arial" w:eastAsia="Times New Roman" w:hAnsi="Arial" w:cs="Arial"/>
                <w:sz w:val="24"/>
                <w:szCs w:val="24"/>
                <w:lang w:val="es-MX" w:eastAsia="es-ES"/>
              </w:rPr>
              <w:t>legislación</w:t>
            </w:r>
            <w:r w:rsidRPr="00882CA0">
              <w:rPr>
                <w:rFonts w:ascii="Arial" w:eastAsia="Times New Roman" w:hAnsi="Arial" w:cs="Arial"/>
                <w:sz w:val="24"/>
                <w:szCs w:val="24"/>
                <w:lang w:val="es-MX" w:eastAsia="es-ES"/>
              </w:rPr>
              <w:t xml:space="preserve"> se requiere contar con el consentimiento expreso de los particulares o los terceros para dar acceso a su información?</w:t>
            </w:r>
          </w:p>
          <w:p w:rsidR="009754CF" w:rsidRPr="00882CA0" w:rsidRDefault="009754C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En virtud de la oposición realizada por el tercero, ya sea en atención del artículo 20 o 25 de la Ley de Transparencia, el CPLT procederá a ponderar a afectación alegada, conciliando los derechos invocados por éstos con el derecho de acceso a la información. Incluso, dicho órgano dentro de sus atribuciones contempla la de velar por la debida reserva de los datos e informaciones que conforme a la Constitución y a la ley tengan el carácter de secreto o reservado (artículo 33, letra j)</w:t>
            </w:r>
            <w:r w:rsidR="007134F1" w:rsidRPr="00882CA0">
              <w:rPr>
                <w:rFonts w:ascii="Arial" w:eastAsia="Times New Roman" w:hAnsi="Arial" w:cs="Arial"/>
                <w:color w:val="FF0000"/>
                <w:sz w:val="24"/>
                <w:szCs w:val="24"/>
                <w:lang w:val="es-MX" w:eastAsia="es-ES"/>
              </w:rPr>
              <w:t xml:space="preserve">, en este caso, </w:t>
            </w:r>
            <w:r w:rsidRPr="00882CA0">
              <w:rPr>
                <w:rFonts w:ascii="Arial" w:eastAsia="Times New Roman" w:hAnsi="Arial" w:cs="Arial"/>
                <w:color w:val="FF0000"/>
                <w:sz w:val="24"/>
                <w:szCs w:val="24"/>
                <w:lang w:val="es-MX" w:eastAsia="es-ES"/>
              </w:rPr>
              <w:t>en ausencia de la manifestación de voluntad por parte de éstos.</w:t>
            </w:r>
          </w:p>
          <w:p w:rsidR="00080A7F" w:rsidRPr="00882CA0" w:rsidRDefault="00080A7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p>
          <w:p w:rsidR="00231614" w:rsidRPr="00882CA0" w:rsidRDefault="00231614" w:rsidP="00882CA0">
            <w:pPr>
              <w:pStyle w:val="Prrafodelista"/>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82CA0">
              <w:rPr>
                <w:rFonts w:ascii="Arial" w:eastAsia="Times New Roman" w:hAnsi="Arial" w:cs="Arial"/>
                <w:sz w:val="24"/>
                <w:szCs w:val="24"/>
                <w:lang w:val="es-MX" w:eastAsia="es-ES"/>
              </w:rPr>
              <w:t>¿Considera que la prueba de daño es una herramienta adecuada para discernir entre la divulgación o la clasificación de la información de terceros?</w:t>
            </w:r>
          </w:p>
          <w:p w:rsidR="009754CF" w:rsidRPr="00882CA0" w:rsidRDefault="009754CF" w:rsidP="00882CA0">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MX" w:eastAsia="es-ES"/>
              </w:rPr>
            </w:pPr>
            <w:r w:rsidRPr="00882CA0">
              <w:rPr>
                <w:rFonts w:ascii="Arial" w:eastAsia="Times New Roman" w:hAnsi="Arial" w:cs="Arial"/>
                <w:color w:val="FF0000"/>
                <w:sz w:val="24"/>
                <w:szCs w:val="24"/>
                <w:lang w:val="es-MX" w:eastAsia="es-ES"/>
              </w:rPr>
              <w:t xml:space="preserve">Si, sólo en el evento que no exista norma expresa que establezca su reserva o publicidad. </w:t>
            </w:r>
          </w:p>
          <w:p w:rsidR="00080A7F" w:rsidRPr="00882CA0" w:rsidRDefault="00080A7F" w:rsidP="00882CA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9E2A68" w:rsidRPr="008F4832" w:rsidRDefault="009E2A68"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080A7F" w:rsidRDefault="006A12BB" w:rsidP="006A12BB">
            <w:pPr>
              <w:widowControl w:val="0"/>
              <w:suppressAutoHyphens/>
              <w:autoSpaceDE w:val="0"/>
              <w:autoSpaceDN w:val="0"/>
              <w:adjustRightInd w:val="0"/>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0000"/>
                <w:sz w:val="24"/>
                <w:szCs w:val="24"/>
                <w:lang w:eastAsia="es-ES"/>
              </w:rPr>
            </w:pPr>
            <w:r>
              <w:rPr>
                <w:rFonts w:ascii="Arial" w:eastAsia="Times New Roman" w:hAnsi="Arial" w:cs="Arial"/>
                <w:color w:val="FF0000"/>
                <w:sz w:val="24"/>
                <w:szCs w:val="24"/>
                <w:lang w:eastAsia="es-ES"/>
              </w:rPr>
              <w:t>El</w:t>
            </w:r>
            <w:r w:rsidRPr="006A12BB">
              <w:rPr>
                <w:rFonts w:ascii="Arial" w:eastAsia="Times New Roman" w:hAnsi="Arial" w:cs="Arial"/>
                <w:color w:val="FF0000"/>
                <w:sz w:val="24"/>
                <w:szCs w:val="24"/>
                <w:lang w:eastAsia="es-ES"/>
              </w:rPr>
              <w:t xml:space="preserve"> C</w:t>
            </w:r>
            <w:r>
              <w:rPr>
                <w:rFonts w:ascii="Arial" w:eastAsia="Times New Roman" w:hAnsi="Arial" w:cs="Arial"/>
                <w:color w:val="FF0000"/>
                <w:sz w:val="24"/>
                <w:szCs w:val="24"/>
                <w:lang w:eastAsia="es-ES"/>
              </w:rPr>
              <w:t>PLT</w:t>
            </w:r>
            <w:r w:rsidRPr="006A12BB">
              <w:rPr>
                <w:rFonts w:ascii="Arial" w:eastAsia="Times New Roman" w:hAnsi="Arial" w:cs="Arial"/>
                <w:color w:val="FF0000"/>
                <w:sz w:val="24"/>
                <w:szCs w:val="24"/>
                <w:lang w:eastAsia="es-ES"/>
              </w:rPr>
              <w:t xml:space="preserve"> ha establecido los requisitos que deben concurrir para estimar reservada</w:t>
            </w:r>
            <w:r w:rsidR="00080A7F">
              <w:rPr>
                <w:rFonts w:ascii="Arial" w:eastAsia="Times New Roman" w:hAnsi="Arial" w:cs="Arial"/>
                <w:color w:val="FF0000"/>
                <w:sz w:val="24"/>
                <w:szCs w:val="24"/>
                <w:lang w:eastAsia="es-ES"/>
              </w:rPr>
              <w:t xml:space="preserve"> la</w:t>
            </w:r>
            <w:r w:rsidRPr="006A12BB">
              <w:rPr>
                <w:rFonts w:ascii="Arial" w:eastAsia="Times New Roman" w:hAnsi="Arial" w:cs="Arial"/>
                <w:color w:val="FF0000"/>
                <w:sz w:val="24"/>
                <w:szCs w:val="24"/>
                <w:lang w:eastAsia="es-ES"/>
              </w:rPr>
              <w:t xml:space="preserve"> información </w:t>
            </w:r>
            <w:r w:rsidRPr="006A12BB">
              <w:rPr>
                <w:rFonts w:ascii="Arial" w:eastAsia="Times New Roman" w:hAnsi="Arial" w:cs="Arial"/>
                <w:iCs/>
                <w:color w:val="FF0000"/>
                <w:sz w:val="24"/>
                <w:szCs w:val="24"/>
                <w:lang w:eastAsia="es-ES"/>
              </w:rPr>
              <w:t xml:space="preserve">cuya divulgación pueda afectar los derechos económicos y comerciales de una persona, para lo cual, debe: </w:t>
            </w:r>
          </w:p>
          <w:p w:rsidR="00080A7F" w:rsidRDefault="006A12BB" w:rsidP="006A12BB">
            <w:pPr>
              <w:widowControl w:val="0"/>
              <w:suppressAutoHyphens/>
              <w:autoSpaceDE w:val="0"/>
              <w:autoSpaceDN w:val="0"/>
              <w:adjustRightInd w:val="0"/>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0000"/>
                <w:sz w:val="24"/>
                <w:szCs w:val="24"/>
                <w:lang w:eastAsia="es-ES"/>
              </w:rPr>
            </w:pPr>
            <w:r w:rsidRPr="006A12BB">
              <w:rPr>
                <w:rFonts w:ascii="Arial" w:eastAsia="Times New Roman" w:hAnsi="Arial" w:cs="Arial"/>
                <w:iCs/>
                <w:color w:val="FF0000"/>
                <w:sz w:val="24"/>
                <w:szCs w:val="24"/>
                <w:lang w:eastAsia="es-ES"/>
              </w:rPr>
              <w:t xml:space="preserve">a) ser secreta, es decir, no generalmente conocida ni fácilmente accesible para personas introducidas en los círculos en que normalmente se utiliza ésta; </w:t>
            </w:r>
          </w:p>
          <w:p w:rsidR="00080A7F" w:rsidRDefault="006A12BB" w:rsidP="006A12BB">
            <w:pPr>
              <w:widowControl w:val="0"/>
              <w:suppressAutoHyphens/>
              <w:autoSpaceDE w:val="0"/>
              <w:autoSpaceDN w:val="0"/>
              <w:adjustRightInd w:val="0"/>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0000"/>
                <w:sz w:val="24"/>
                <w:szCs w:val="24"/>
                <w:lang w:eastAsia="es-ES"/>
              </w:rPr>
            </w:pPr>
            <w:r w:rsidRPr="006A12BB">
              <w:rPr>
                <w:rFonts w:ascii="Arial" w:eastAsia="Times New Roman" w:hAnsi="Arial" w:cs="Arial"/>
                <w:iCs/>
                <w:color w:val="FF0000"/>
                <w:sz w:val="24"/>
                <w:szCs w:val="24"/>
                <w:lang w:eastAsia="es-ES"/>
              </w:rPr>
              <w:t xml:space="preserve">b) ser objeto de razonables esfuerzos para mantener su secreto; y </w:t>
            </w:r>
          </w:p>
          <w:p w:rsidR="009E2A68" w:rsidRPr="008F4832" w:rsidRDefault="006A12BB" w:rsidP="006A12BB">
            <w:pPr>
              <w:widowControl w:val="0"/>
              <w:suppressAutoHyphens/>
              <w:autoSpaceDE w:val="0"/>
              <w:autoSpaceDN w:val="0"/>
              <w:adjustRightInd w:val="0"/>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A12BB">
              <w:rPr>
                <w:rFonts w:ascii="Arial" w:eastAsia="Times New Roman" w:hAnsi="Arial" w:cs="Arial"/>
                <w:iCs/>
                <w:color w:val="FF0000"/>
                <w:sz w:val="24"/>
                <w:szCs w:val="24"/>
                <w:lang w:eastAsia="es-ES"/>
              </w:rPr>
              <w:t>c) tener un valor comercial por ser secreta, esto es, que dicho carácter proporcione a su titular una ventaja competitiva (y por el contrario, su publicidad afectar significativamente su desenvolvimiento competitivo).</w:t>
            </w:r>
            <w:r w:rsidRPr="006A12BB">
              <w:rPr>
                <w:rFonts w:ascii="Times New Roman" w:eastAsia="Times New Roman" w:hAnsi="Times New Roman" w:cs="Times New Roman"/>
                <w:color w:val="FF0000"/>
                <w:sz w:val="24"/>
                <w:szCs w:val="24"/>
                <w:lang w:eastAsia="es-ES"/>
              </w:rPr>
              <w:t xml:space="preserve"> </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E2A68" w:rsidRPr="008F4832" w:rsidRDefault="009E2A68" w:rsidP="009E2A6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Default="00E00EE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hyperlink r:id="rId7" w:history="1">
              <w:r w:rsidR="006A12BB" w:rsidRPr="00E91864">
                <w:rPr>
                  <w:rStyle w:val="Hipervnculo"/>
                  <w:rFonts w:ascii="Arial" w:eastAsia="Times New Roman" w:hAnsi="Arial" w:cs="Arial"/>
                  <w:iCs/>
                  <w:sz w:val="24"/>
                  <w:szCs w:val="24"/>
                  <w:lang w:val="es-MX"/>
                </w:rPr>
                <w:t>http://productos3.legalpublishing.cl/CPLT/modulos/pages/Default2.asp</w:t>
              </w:r>
            </w:hyperlink>
          </w:p>
          <w:p w:rsidR="006A12BB" w:rsidRDefault="00E00EE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hyperlink r:id="rId8" w:history="1">
              <w:r w:rsidR="006A12BB" w:rsidRPr="00E91864">
                <w:rPr>
                  <w:rStyle w:val="Hipervnculo"/>
                  <w:rFonts w:ascii="Arial" w:eastAsia="Times New Roman" w:hAnsi="Arial" w:cs="Arial"/>
                  <w:iCs/>
                  <w:sz w:val="24"/>
                  <w:szCs w:val="24"/>
                  <w:lang w:val="es-MX"/>
                </w:rPr>
                <w:t>http://productos3.legalpublishing.cl/CPLT/modulos/pages/Default2.asp</w:t>
              </w:r>
            </w:hyperlink>
          </w:p>
          <w:p w:rsidR="006A12BB" w:rsidRDefault="00E00EE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hyperlink r:id="rId9" w:history="1">
              <w:r w:rsidR="006A12BB" w:rsidRPr="00E91864">
                <w:rPr>
                  <w:rStyle w:val="Hipervnculo"/>
                  <w:rFonts w:ascii="Arial" w:eastAsia="Times New Roman" w:hAnsi="Arial" w:cs="Arial"/>
                  <w:iCs/>
                  <w:sz w:val="24"/>
                  <w:szCs w:val="24"/>
                  <w:lang w:val="es-MX"/>
                </w:rPr>
                <w:t>http://productos3.legalpublishing.cl/CPLT/modulos/pages/Default2.asp</w:t>
              </w:r>
            </w:hyperlink>
          </w:p>
          <w:p w:rsidR="006A12BB" w:rsidRDefault="00E00EE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hyperlink r:id="rId10" w:history="1">
              <w:r w:rsidR="006A12BB" w:rsidRPr="00E91864">
                <w:rPr>
                  <w:rStyle w:val="Hipervnculo"/>
                  <w:rFonts w:ascii="Arial" w:eastAsia="Times New Roman" w:hAnsi="Arial" w:cs="Arial"/>
                  <w:iCs/>
                  <w:sz w:val="24"/>
                  <w:szCs w:val="24"/>
                  <w:lang w:val="es-MX"/>
                </w:rPr>
                <w:t>http://productos3.legalpublishing.cl/CPLT/modulos/pages/Default2.asp</w:t>
              </w:r>
            </w:hyperlink>
          </w:p>
          <w:p w:rsidR="006A12BB" w:rsidRPr="009E2A68" w:rsidRDefault="00E00EE1" w:rsidP="00080A7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hyperlink r:id="rId11" w:history="1">
              <w:r w:rsidR="00080A7F" w:rsidRPr="004E1B8D">
                <w:rPr>
                  <w:rStyle w:val="Hipervnculo"/>
                  <w:rFonts w:ascii="Arial" w:eastAsia="Times New Roman" w:hAnsi="Arial" w:cs="Arial"/>
                  <w:iCs/>
                  <w:sz w:val="24"/>
                  <w:szCs w:val="24"/>
                  <w:lang w:val="es-MX"/>
                </w:rPr>
                <w:t>http://productos3.legalpublishing.cl/CPLT/modulos/pages/Default2.asp</w:t>
              </w:r>
            </w:hyperlink>
          </w:p>
        </w:tc>
      </w:tr>
    </w:tbl>
    <w:p w:rsidR="004B612B" w:rsidRDefault="004B612B" w:rsidP="008F4832">
      <w:pPr>
        <w:spacing w:after="0"/>
        <w:jc w:val="both"/>
        <w:rPr>
          <w:rFonts w:ascii="Arial" w:hAnsi="Arial" w:cs="Arial"/>
          <w:sz w:val="24"/>
          <w:szCs w:val="24"/>
        </w:rPr>
      </w:pPr>
    </w:p>
    <w:p w:rsidR="00882CA0" w:rsidRDefault="00882CA0" w:rsidP="008F4832">
      <w:pPr>
        <w:spacing w:after="0"/>
        <w:jc w:val="both"/>
        <w:rPr>
          <w:rFonts w:ascii="Arial" w:hAnsi="Arial" w:cs="Arial"/>
          <w:sz w:val="24"/>
          <w:szCs w:val="24"/>
        </w:rPr>
      </w:pPr>
    </w:p>
    <w:p w:rsidR="00882CA0" w:rsidRPr="008F4832" w:rsidRDefault="00882CA0"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lastRenderedPageBreak/>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0" w:type="pct"/>
        <w:tblLook w:val="04A0" w:firstRow="1" w:lastRow="0" w:firstColumn="1" w:lastColumn="0" w:noHBand="0" w:noVBand="1"/>
      </w:tblPr>
      <w:tblGrid>
        <w:gridCol w:w="2569"/>
        <w:gridCol w:w="8447"/>
      </w:tblGrid>
      <w:tr w:rsidR="00882082" w:rsidRPr="008F4832" w:rsidTr="00E10CD4">
        <w:trPr>
          <w:cnfStyle w:val="100000000000" w:firstRow="1" w:lastRow="0" w:firstColumn="0" w:lastColumn="0" w:oddVBand="0" w:evenVBand="0" w:oddHBand="0" w:evenHBand="0" w:firstRowFirstColumn="0" w:firstRowLastColumn="0" w:lastRowFirstColumn="0" w:lastRowLastColumn="0"/>
          <w:trHeight w:val="812"/>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5B8B7" w:themeColor="accent2" w:themeTint="66"/>
            </w:tcBorders>
            <w:vAlign w:val="center"/>
          </w:tcPr>
          <w:p w:rsidR="00882082" w:rsidRPr="00E10CD4" w:rsidRDefault="00882082" w:rsidP="00E10CD4">
            <w:pPr>
              <w:jc w:val="center"/>
              <w:rPr>
                <w:rFonts w:ascii="Arial" w:eastAsia="Calibri" w:hAnsi="Arial" w:cs="Arial"/>
                <w:sz w:val="24"/>
                <w:szCs w:val="24"/>
                <w:lang w:val="es-MX"/>
              </w:rPr>
            </w:pPr>
            <w:r w:rsidRPr="008F4832">
              <w:rPr>
                <w:rFonts w:ascii="Arial" w:eastAsia="Calibri" w:hAnsi="Arial" w:cs="Arial"/>
                <w:sz w:val="24"/>
                <w:szCs w:val="24"/>
                <w:lang w:val="es-MX"/>
              </w:rPr>
              <w:t>“</w:t>
            </w:r>
            <w:r w:rsidR="006537AD" w:rsidRPr="009E2A68">
              <w:rPr>
                <w:rFonts w:ascii="Arial" w:eastAsia="Times New Roman" w:hAnsi="Arial" w:cs="Arial"/>
                <w:iCs/>
                <w:smallCaps/>
                <w:sz w:val="24"/>
                <w:szCs w:val="24"/>
              </w:rPr>
              <w:t>Afectación de derechos económicos y comerciales de terceros por la entrega de información pública ¿corresponde, o es conveniente, bilateralizar el trámite?</w:t>
            </w:r>
            <w:r w:rsidRPr="008F4832">
              <w:rPr>
                <w:rFonts w:ascii="Arial" w:eastAsia="Calibri" w:hAnsi="Arial" w:cs="Arial"/>
                <w:sz w:val="24"/>
                <w:szCs w:val="24"/>
                <w:lang w:val="es-MX"/>
              </w:rPr>
              <w:t xml:space="preserve">” </w:t>
            </w:r>
          </w:p>
        </w:tc>
      </w:tr>
      <w:tr w:rsidR="00882082" w:rsidRPr="008F4832" w:rsidTr="00653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882082" w:rsidRPr="008F4832" w:rsidTr="006537AD">
        <w:tc>
          <w:tcPr>
            <w:cnfStyle w:val="001000000000" w:firstRow="0" w:lastRow="0" w:firstColumn="1" w:lastColumn="0" w:oddVBand="0" w:evenVBand="0" w:oddHBand="0" w:evenHBand="0" w:firstRowFirstColumn="0" w:firstRowLastColumn="0" w:lastRowFirstColumn="0" w:lastRowLastColumn="0"/>
            <w:tcW w:w="1166"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(Conclusión para el Grupo)</w:t>
            </w:r>
          </w:p>
        </w:tc>
        <w:tc>
          <w:tcPr>
            <w:tcW w:w="3834" w:type="pct"/>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882082" w:rsidRPr="008F4832" w:rsidRDefault="00882082" w:rsidP="008F48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12"/>
      <w:footerReference w:type="default" r:id="rId1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E1" w:rsidRDefault="00E00EE1" w:rsidP="009E2A68">
      <w:pPr>
        <w:spacing w:after="0" w:line="240" w:lineRule="auto"/>
      </w:pPr>
      <w:r>
        <w:separator/>
      </w:r>
    </w:p>
  </w:endnote>
  <w:endnote w:type="continuationSeparator" w:id="0">
    <w:p w:rsidR="00E00EE1" w:rsidRDefault="00E00EE1"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8B51EE">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8B51EE">
              <w:rPr>
                <w:rFonts w:ascii="Arial" w:hAnsi="Arial" w:cs="Arial"/>
                <w:b/>
                <w:bCs/>
                <w:noProof/>
                <w:sz w:val="18"/>
              </w:rPr>
              <w:t>6</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E1" w:rsidRDefault="00E00EE1" w:rsidP="009E2A68">
      <w:pPr>
        <w:spacing w:after="0" w:line="240" w:lineRule="auto"/>
      </w:pPr>
      <w:r>
        <w:separator/>
      </w:r>
    </w:p>
  </w:footnote>
  <w:footnote w:type="continuationSeparator" w:id="0">
    <w:p w:rsidR="00E00EE1" w:rsidRDefault="00E00EE1" w:rsidP="009E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9E2A68"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Hoja de datos</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Cuarto 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5C34B0"/>
    <w:multiLevelType w:val="hybridMultilevel"/>
    <w:tmpl w:val="74264F6E"/>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478B8"/>
    <w:rsid w:val="000510E2"/>
    <w:rsid w:val="00080A7F"/>
    <w:rsid w:val="00097BDE"/>
    <w:rsid w:val="00143926"/>
    <w:rsid w:val="00150183"/>
    <w:rsid w:val="001F1D8B"/>
    <w:rsid w:val="00231614"/>
    <w:rsid w:val="00287734"/>
    <w:rsid w:val="0033112F"/>
    <w:rsid w:val="0033282F"/>
    <w:rsid w:val="0039462F"/>
    <w:rsid w:val="003A596B"/>
    <w:rsid w:val="00420E96"/>
    <w:rsid w:val="00436105"/>
    <w:rsid w:val="004633C9"/>
    <w:rsid w:val="00486A8A"/>
    <w:rsid w:val="004B612B"/>
    <w:rsid w:val="00521672"/>
    <w:rsid w:val="00522F6E"/>
    <w:rsid w:val="00536602"/>
    <w:rsid w:val="0055506D"/>
    <w:rsid w:val="0056589D"/>
    <w:rsid w:val="005941F2"/>
    <w:rsid w:val="005D6776"/>
    <w:rsid w:val="005E04AA"/>
    <w:rsid w:val="0061563C"/>
    <w:rsid w:val="00622B72"/>
    <w:rsid w:val="006537AD"/>
    <w:rsid w:val="006720BA"/>
    <w:rsid w:val="006935C8"/>
    <w:rsid w:val="006A12BB"/>
    <w:rsid w:val="007134F1"/>
    <w:rsid w:val="00787100"/>
    <w:rsid w:val="00882082"/>
    <w:rsid w:val="00882CA0"/>
    <w:rsid w:val="008B51EE"/>
    <w:rsid w:val="008E056E"/>
    <w:rsid w:val="008F4832"/>
    <w:rsid w:val="008F52E7"/>
    <w:rsid w:val="0095076A"/>
    <w:rsid w:val="00970F79"/>
    <w:rsid w:val="009754CF"/>
    <w:rsid w:val="009760E6"/>
    <w:rsid w:val="009E2A68"/>
    <w:rsid w:val="00A27E14"/>
    <w:rsid w:val="00A801E3"/>
    <w:rsid w:val="00AB3CC1"/>
    <w:rsid w:val="00AC7955"/>
    <w:rsid w:val="00B927E9"/>
    <w:rsid w:val="00CB058C"/>
    <w:rsid w:val="00CB3B99"/>
    <w:rsid w:val="00D50306"/>
    <w:rsid w:val="00E00EE1"/>
    <w:rsid w:val="00E10CD4"/>
    <w:rsid w:val="00E131FB"/>
    <w:rsid w:val="00E23674"/>
    <w:rsid w:val="00EF4D59"/>
    <w:rsid w:val="00F11AF9"/>
    <w:rsid w:val="00F246BB"/>
    <w:rsid w:val="00F368BA"/>
    <w:rsid w:val="00F617EE"/>
    <w:rsid w:val="00F64D83"/>
    <w:rsid w:val="00F714D4"/>
    <w:rsid w:val="00FA7989"/>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EC2C8-F96C-4978-84E1-8772D2A3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1439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926"/>
    <w:rPr>
      <w:rFonts w:ascii="Tahoma" w:hAnsi="Tahoma" w:cs="Tahoma"/>
      <w:sz w:val="16"/>
      <w:szCs w:val="16"/>
    </w:rPr>
  </w:style>
  <w:style w:type="character" w:styleId="Hipervnculo">
    <w:name w:val="Hyperlink"/>
    <w:basedOn w:val="Fuentedeprrafopredeter"/>
    <w:uiPriority w:val="99"/>
    <w:unhideWhenUsed/>
    <w:rsid w:val="006A1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9092">
      <w:bodyDiv w:val="1"/>
      <w:marLeft w:val="0"/>
      <w:marRight w:val="0"/>
      <w:marTop w:val="0"/>
      <w:marBottom w:val="0"/>
      <w:divBdr>
        <w:top w:val="none" w:sz="0" w:space="0" w:color="auto"/>
        <w:left w:val="none" w:sz="0" w:space="0" w:color="auto"/>
        <w:bottom w:val="none" w:sz="0" w:space="0" w:color="auto"/>
        <w:right w:val="none" w:sz="0" w:space="0" w:color="auto"/>
      </w:divBdr>
      <w:divsChild>
        <w:div w:id="2079281232">
          <w:marLeft w:val="0"/>
          <w:marRight w:val="0"/>
          <w:marTop w:val="0"/>
          <w:marBottom w:val="0"/>
          <w:divBdr>
            <w:top w:val="none" w:sz="0" w:space="0" w:color="auto"/>
            <w:left w:val="none" w:sz="0" w:space="0" w:color="auto"/>
            <w:bottom w:val="none" w:sz="0" w:space="0" w:color="auto"/>
            <w:right w:val="none" w:sz="0" w:space="0" w:color="auto"/>
          </w:divBdr>
        </w:div>
      </w:divsChild>
    </w:div>
    <w:div w:id="1095325580">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573705">
      <w:bodyDiv w:val="1"/>
      <w:marLeft w:val="0"/>
      <w:marRight w:val="0"/>
      <w:marTop w:val="0"/>
      <w:marBottom w:val="0"/>
      <w:divBdr>
        <w:top w:val="none" w:sz="0" w:space="0" w:color="auto"/>
        <w:left w:val="none" w:sz="0" w:space="0" w:color="auto"/>
        <w:bottom w:val="none" w:sz="0" w:space="0" w:color="auto"/>
        <w:right w:val="none" w:sz="0" w:space="0" w:color="auto"/>
      </w:divBdr>
    </w:div>
    <w:div w:id="19451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uctos3.legalpublishing.cl/CPLT/modulos/pages/Default2.asp"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productos3.legalpublishing.cl/CPLT/modulos/pages/Default2.asp"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os3.legalpublishing.cl/CPLT/modulos/pages/Default2.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ductos3.legalpublishing.cl/CPLT/modulos/pages/Default2.asp" TargetMode="External"/><Relationship Id="rId4" Type="http://schemas.openxmlformats.org/officeDocument/2006/relationships/webSettings" Target="webSettings.xml"/><Relationship Id="rId9" Type="http://schemas.openxmlformats.org/officeDocument/2006/relationships/hyperlink" Target="http://productos3.legalpublishing.cl/CPLT/modulos/pages/Default2.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BB8D4970-5431-410D-824E-CAB5EAB817F8}"/>
</file>

<file path=customXml/itemProps2.xml><?xml version="1.0" encoding="utf-8"?>
<ds:datastoreItem xmlns:ds="http://schemas.openxmlformats.org/officeDocument/2006/customXml" ds:itemID="{C6CD9AEB-9514-430B-B928-1E142B0F922D}"/>
</file>

<file path=customXml/itemProps3.xml><?xml version="1.0" encoding="utf-8"?>
<ds:datastoreItem xmlns:ds="http://schemas.openxmlformats.org/officeDocument/2006/customXml" ds:itemID="{7020D6A8-6F63-46CC-A561-30832554DB2B}"/>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2</cp:revision>
  <cp:lastPrinted>2016-11-07T16:00:00Z</cp:lastPrinted>
  <dcterms:created xsi:type="dcterms:W3CDTF">2016-11-08T01:22:00Z</dcterms:created>
  <dcterms:modified xsi:type="dcterms:W3CDTF">2016-11-08T01:22:00Z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