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68" w:rsidRPr="008F4832" w:rsidRDefault="00231614" w:rsidP="008F4832">
      <w:pPr>
        <w:pStyle w:val="Prrafodelista"/>
        <w:spacing w:after="0"/>
        <w:jc w:val="both"/>
        <w:rPr>
          <w:rFonts w:ascii="Arial" w:hAnsi="Arial" w:cs="Arial"/>
          <w:b/>
          <w:sz w:val="24"/>
          <w:szCs w:val="24"/>
        </w:rPr>
      </w:pPr>
      <w:r>
        <w:rPr>
          <w:rFonts w:ascii="Arial" w:hAnsi="Arial" w:cs="Arial"/>
          <w:b/>
          <w:sz w:val="24"/>
          <w:szCs w:val="24"/>
        </w:rPr>
        <w:tab/>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ayout w:type="fixed"/>
        <w:tblLook w:val="04A0" w:firstRow="1" w:lastRow="0" w:firstColumn="1" w:lastColumn="0" w:noHBand="0" w:noVBand="1"/>
      </w:tblPr>
      <w:tblGrid>
        <w:gridCol w:w="1556"/>
        <w:gridCol w:w="9234"/>
      </w:tblGrid>
      <w:tr w:rsidR="00882082" w:rsidRPr="008F4832" w:rsidTr="008B047D">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9E2A68" w:rsidP="008F4832">
            <w:pPr>
              <w:spacing w:line="276" w:lineRule="auto"/>
              <w:jc w:val="center"/>
              <w:rPr>
                <w:rFonts w:ascii="Arial" w:eastAsia="Times New Roman" w:hAnsi="Arial" w:cs="Arial"/>
                <w:iCs/>
                <w:smallCaps/>
                <w:sz w:val="24"/>
                <w:szCs w:val="24"/>
              </w:rPr>
            </w:pPr>
            <w:r w:rsidRPr="009E2A68">
              <w:rPr>
                <w:rFonts w:ascii="Arial" w:eastAsia="Times New Roman" w:hAnsi="Arial" w:cs="Arial"/>
                <w:iCs/>
                <w:smallCaps/>
                <w:sz w:val="24"/>
                <w:szCs w:val="24"/>
              </w:rPr>
              <w:t xml:space="preserve">Afectación de derechos económicos y comerciales de terceros por la entrega de información pública ¿corresponde, o es conveniente, </w:t>
            </w:r>
            <w:proofErr w:type="spellStart"/>
            <w:r w:rsidRPr="009E2A68">
              <w:rPr>
                <w:rFonts w:ascii="Arial" w:eastAsia="Times New Roman" w:hAnsi="Arial" w:cs="Arial"/>
                <w:iCs/>
                <w:smallCaps/>
                <w:sz w:val="24"/>
                <w:szCs w:val="24"/>
              </w:rPr>
              <w:t>bilateralizar</w:t>
            </w:r>
            <w:proofErr w:type="spellEnd"/>
            <w:r w:rsidRPr="009E2A68">
              <w:rPr>
                <w:rFonts w:ascii="Arial" w:eastAsia="Times New Roman" w:hAnsi="Arial" w:cs="Arial"/>
                <w:iCs/>
                <w:smallCaps/>
                <w:sz w:val="24"/>
                <w:szCs w:val="24"/>
              </w:rPr>
              <w:t xml:space="preserve"> el trámite?</w:t>
            </w:r>
          </w:p>
        </w:tc>
      </w:tr>
      <w:tr w:rsidR="00522F6E" w:rsidRPr="008F4832" w:rsidTr="008B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Borders>
              <w:top w:val="none" w:sz="0" w:space="0" w:color="auto"/>
              <w:left w:val="none" w:sz="0" w:space="0" w:color="auto"/>
              <w:bottom w:val="none" w:sz="0" w:space="0" w:color="auto"/>
            </w:tcBorders>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8B047D">
              <w:rPr>
                <w:rFonts w:ascii="Arial" w:eastAsia="Calibri" w:hAnsi="Arial" w:cs="Arial"/>
                <w:smallCaps/>
                <w:sz w:val="20"/>
                <w:szCs w:val="24"/>
                <w:lang w:val="es-MX"/>
              </w:rPr>
              <w:t>País e institución representada</w:t>
            </w:r>
          </w:p>
        </w:tc>
        <w:tc>
          <w:tcPr>
            <w:tcW w:w="4279" w:type="pct"/>
            <w:tcBorders>
              <w:top w:val="none" w:sz="0" w:space="0" w:color="auto"/>
              <w:bottom w:val="none" w:sz="0" w:space="0" w:color="auto"/>
              <w:right w:val="none" w:sz="0" w:space="0" w:color="auto"/>
            </w:tcBorders>
            <w:vAlign w:val="center"/>
          </w:tcPr>
          <w:p w:rsidR="00486A8A" w:rsidRPr="009E2A68" w:rsidRDefault="00B6392E" w:rsidP="008B047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B6392E">
              <w:rPr>
                <w:rFonts w:ascii="Arial" w:eastAsia="Times New Roman" w:hAnsi="Arial" w:cs="Arial"/>
                <w:color w:val="4F81BD" w:themeColor="accent1"/>
                <w:sz w:val="24"/>
                <w:szCs w:val="24"/>
                <w:lang w:val="es-MX" w:eastAsia="es-ES"/>
              </w:rPr>
              <w:t>BRASIL</w:t>
            </w:r>
            <w:r w:rsidR="008B047D">
              <w:rPr>
                <w:rFonts w:ascii="Arial" w:eastAsia="Times New Roman" w:hAnsi="Arial" w:cs="Arial"/>
                <w:color w:val="4F81BD" w:themeColor="accent1"/>
                <w:sz w:val="24"/>
                <w:szCs w:val="24"/>
                <w:lang w:val="es-MX" w:eastAsia="es-ES"/>
              </w:rPr>
              <w:t xml:space="preserve"> - </w:t>
            </w:r>
            <w:r w:rsidR="008B047D" w:rsidRPr="008B047D">
              <w:rPr>
                <w:rFonts w:ascii="Arial" w:eastAsia="Times New Roman" w:hAnsi="Arial" w:cs="Arial"/>
                <w:bCs/>
                <w:color w:val="4F81BD" w:themeColor="accent1"/>
                <w:sz w:val="24"/>
                <w:szCs w:val="24"/>
                <w:lang w:val="es-MX" w:eastAsia="es-ES"/>
              </w:rPr>
              <w:t>Ministerio de Transpa</w:t>
            </w:r>
            <w:r w:rsidR="008B047D">
              <w:rPr>
                <w:rFonts w:ascii="Arial" w:eastAsia="Times New Roman" w:hAnsi="Arial" w:cs="Arial"/>
                <w:bCs/>
                <w:color w:val="4F81BD" w:themeColor="accent1"/>
                <w:sz w:val="24"/>
                <w:szCs w:val="24"/>
                <w:lang w:val="es-MX" w:eastAsia="es-ES"/>
              </w:rPr>
              <w:t xml:space="preserve">rencia, Fiscalización y Contraloría </w:t>
            </w:r>
            <w:r w:rsidR="008B047D" w:rsidRPr="008B047D">
              <w:rPr>
                <w:rFonts w:ascii="Arial" w:eastAsia="Times New Roman" w:hAnsi="Arial" w:cs="Arial"/>
                <w:bCs/>
                <w:color w:val="4F81BD" w:themeColor="accent1"/>
                <w:sz w:val="24"/>
                <w:szCs w:val="24"/>
                <w:lang w:val="es-MX" w:eastAsia="es-ES"/>
              </w:rPr>
              <w:t>-</w:t>
            </w:r>
            <w:r w:rsidR="008B047D">
              <w:rPr>
                <w:rFonts w:ascii="Arial" w:eastAsia="Times New Roman" w:hAnsi="Arial" w:cs="Arial"/>
                <w:bCs/>
                <w:color w:val="4F81BD" w:themeColor="accent1"/>
                <w:sz w:val="24"/>
                <w:szCs w:val="24"/>
                <w:lang w:val="es-MX" w:eastAsia="es-ES"/>
              </w:rPr>
              <w:t xml:space="preserve"> </w:t>
            </w:r>
            <w:r w:rsidR="008B047D" w:rsidRPr="008B047D">
              <w:rPr>
                <w:rFonts w:ascii="Arial" w:eastAsia="Times New Roman" w:hAnsi="Arial" w:cs="Arial"/>
                <w:bCs/>
                <w:color w:val="4F81BD" w:themeColor="accent1"/>
                <w:sz w:val="24"/>
                <w:szCs w:val="24"/>
                <w:lang w:val="es-MX" w:eastAsia="es-ES"/>
              </w:rPr>
              <w:t>General de la Unión</w:t>
            </w:r>
          </w:p>
        </w:tc>
      </w:tr>
      <w:tr w:rsidR="009E2A68" w:rsidRPr="00C7591F" w:rsidTr="008B047D">
        <w:tc>
          <w:tcPr>
            <w:cnfStyle w:val="001000000000" w:firstRow="0" w:lastRow="0" w:firstColumn="1" w:lastColumn="0" w:oddVBand="0" w:evenVBand="0" w:oddHBand="0" w:evenHBand="0" w:firstRowFirstColumn="0" w:firstRowLastColumn="0" w:lastRowFirstColumn="0" w:lastRowLastColumn="0"/>
            <w:tcW w:w="721"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4279" w:type="pct"/>
            <w:vAlign w:val="center"/>
          </w:tcPr>
          <w:p w:rsidR="009E2A68" w:rsidRDefault="0061563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continuación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61563C">
              <w:rPr>
                <w:rFonts w:ascii="Arial" w:eastAsia="Times New Roman" w:hAnsi="Arial" w:cs="Arial"/>
                <w:sz w:val="24"/>
                <w:szCs w:val="24"/>
                <w:lang w:val="es-MX" w:eastAsia="es-ES"/>
              </w:rPr>
              <w:t xml:space="preserve">Qué se entiende por derechos económicos y comerciales 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w:t>
            </w:r>
          </w:p>
          <w:p w:rsidR="00EA4D9D" w:rsidRDefault="00EA4D9D" w:rsidP="00EA4D9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EA4D9D" w:rsidRPr="006306A0" w:rsidRDefault="006306A0" w:rsidP="00EA4D9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6306A0">
              <w:rPr>
                <w:rFonts w:ascii="Arial" w:eastAsia="Times New Roman" w:hAnsi="Arial" w:cs="Arial"/>
                <w:color w:val="4F81BD" w:themeColor="accent1"/>
                <w:sz w:val="24"/>
                <w:szCs w:val="24"/>
                <w:lang w:eastAsia="es-ES"/>
              </w:rPr>
              <w:t>Serán discutidos más abajo en este documento.</w:t>
            </w:r>
          </w:p>
          <w:p w:rsidR="006306A0" w:rsidRPr="00BF075C" w:rsidRDefault="006306A0" w:rsidP="00EA4D9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F64D83" w:rsidRDefault="00F64D83"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¿Quiénes son los titulares de los derechos económicos y comerciales dentro de su jurisdicción?</w:t>
            </w:r>
          </w:p>
          <w:p w:rsidR="005712B7" w:rsidRPr="00E50840" w:rsidRDefault="005712B7" w:rsidP="00E508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3063A" w:rsidRPr="00E50840" w:rsidRDefault="00E5084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E50840">
              <w:rPr>
                <w:rFonts w:ascii="Arial" w:eastAsia="Times New Roman" w:hAnsi="Arial" w:cs="Arial"/>
                <w:color w:val="4F81BD" w:themeColor="accent1"/>
                <w:sz w:val="24"/>
                <w:szCs w:val="24"/>
                <w:lang w:eastAsia="es-ES"/>
              </w:rPr>
              <w:t>Los titulares son las personas f</w:t>
            </w:r>
            <w:r>
              <w:rPr>
                <w:rFonts w:ascii="Arial" w:eastAsia="Times New Roman" w:hAnsi="Arial" w:cs="Arial"/>
                <w:color w:val="4F81BD" w:themeColor="accent1"/>
                <w:sz w:val="24"/>
                <w:szCs w:val="24"/>
                <w:lang w:eastAsia="es-ES"/>
              </w:rPr>
              <w:t>ísicas o jurídicas a las que se refieren las informaciones.</w:t>
            </w:r>
          </w:p>
          <w:p w:rsidR="005712B7" w:rsidRPr="00E50840" w:rsidRDefault="005712B7"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61563C">
              <w:rPr>
                <w:rFonts w:ascii="Arial" w:eastAsia="Times New Roman" w:hAnsi="Arial" w:cs="Arial"/>
                <w:sz w:val="24"/>
                <w:szCs w:val="24"/>
                <w:lang w:val="es-MX" w:eastAsia="es-ES"/>
              </w:rPr>
              <w:t>Qué tipo de información suele ser proporcionada a los sujetos obligados</w:t>
            </w:r>
            <w:r w:rsidR="00F64D83">
              <w:rPr>
                <w:rFonts w:ascii="Arial" w:eastAsia="Times New Roman" w:hAnsi="Arial" w:cs="Arial"/>
                <w:sz w:val="24"/>
                <w:szCs w:val="24"/>
                <w:lang w:val="es-MX" w:eastAsia="es-ES"/>
              </w:rPr>
              <w:t xml:space="preserve"> (en materia de acceso a la información)</w:t>
            </w:r>
            <w:r w:rsidR="0061563C">
              <w:rPr>
                <w:rFonts w:ascii="Arial" w:eastAsia="Times New Roman" w:hAnsi="Arial" w:cs="Arial"/>
                <w:sz w:val="24"/>
                <w:szCs w:val="24"/>
                <w:lang w:val="es-MX" w:eastAsia="es-ES"/>
              </w:rPr>
              <w:t xml:space="preserve"> por</w:t>
            </w:r>
            <w:r w:rsidR="00287734">
              <w:rPr>
                <w:rFonts w:ascii="Arial" w:eastAsia="Times New Roman" w:hAnsi="Arial" w:cs="Arial"/>
                <w:sz w:val="24"/>
                <w:szCs w:val="24"/>
                <w:lang w:val="es-MX" w:eastAsia="es-ES"/>
              </w:rPr>
              <w:t xml:space="preserve"> los</w:t>
            </w:r>
            <w:r w:rsidR="0061563C">
              <w:rPr>
                <w:rFonts w:ascii="Arial" w:eastAsia="Times New Roman" w:hAnsi="Arial" w:cs="Arial"/>
                <w:sz w:val="24"/>
                <w:szCs w:val="24"/>
                <w:lang w:val="es-MX" w:eastAsia="es-ES"/>
              </w:rPr>
              <w:t xml:space="preserve"> </w:t>
            </w:r>
            <w:r w:rsidR="00F64D83">
              <w:rPr>
                <w:rFonts w:ascii="Arial" w:eastAsia="Times New Roman" w:hAnsi="Arial" w:cs="Arial"/>
                <w:sz w:val="24"/>
                <w:szCs w:val="24"/>
                <w:lang w:val="es-MX" w:eastAsia="es-ES"/>
              </w:rPr>
              <w:t>terceros</w:t>
            </w:r>
            <w:r w:rsidR="00287734">
              <w:rPr>
                <w:rFonts w:ascii="Arial" w:eastAsia="Times New Roman" w:hAnsi="Arial" w:cs="Arial"/>
                <w:sz w:val="24"/>
                <w:szCs w:val="24"/>
                <w:lang w:val="es-MX" w:eastAsia="es-ES"/>
              </w:rPr>
              <w:t>?</w:t>
            </w:r>
          </w:p>
          <w:p w:rsidR="0003063A" w:rsidRDefault="0003063A"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4C4D70">
              <w:rPr>
                <w:rFonts w:ascii="Arial" w:eastAsia="Times New Roman" w:hAnsi="Arial" w:cs="Arial"/>
                <w:color w:val="4F81BD" w:themeColor="accent1"/>
                <w:sz w:val="24"/>
                <w:szCs w:val="24"/>
                <w:lang w:eastAsia="es-ES"/>
              </w:rPr>
              <w:t xml:space="preserve">Generalmente, los órganos y entidades que </w:t>
            </w:r>
            <w:r>
              <w:rPr>
                <w:rFonts w:ascii="Arial" w:eastAsia="Times New Roman" w:hAnsi="Arial" w:cs="Arial"/>
                <w:color w:val="4F81BD" w:themeColor="accent1"/>
                <w:sz w:val="24"/>
                <w:szCs w:val="24"/>
                <w:lang w:eastAsia="es-ES"/>
              </w:rPr>
              <w:t>tienen informaciones de</w:t>
            </w:r>
            <w:r w:rsidRPr="004C4D70">
              <w:rPr>
                <w:rFonts w:ascii="Arial" w:eastAsia="Times New Roman" w:hAnsi="Arial" w:cs="Arial"/>
                <w:color w:val="4F81BD" w:themeColor="accent1"/>
                <w:sz w:val="24"/>
                <w:szCs w:val="24"/>
                <w:lang w:eastAsia="es-ES"/>
              </w:rPr>
              <w:t xml:space="preserve"> </w:t>
            </w:r>
            <w:r>
              <w:rPr>
                <w:rFonts w:ascii="Arial" w:eastAsia="Times New Roman" w:hAnsi="Arial" w:cs="Arial"/>
                <w:color w:val="4F81BD" w:themeColor="accent1"/>
                <w:sz w:val="24"/>
                <w:szCs w:val="24"/>
                <w:lang w:eastAsia="es-ES"/>
              </w:rPr>
              <w:t>naturaleza comercial o económica de personas físicas y jurídicas son aquellos que desempeñan actividades de regulación, fiscalización y control de determ</w:t>
            </w:r>
            <w:r w:rsidR="00CB4033">
              <w:rPr>
                <w:rFonts w:ascii="Arial" w:eastAsia="Times New Roman" w:hAnsi="Arial" w:cs="Arial"/>
                <w:color w:val="4F81BD" w:themeColor="accent1"/>
                <w:sz w:val="24"/>
                <w:szCs w:val="24"/>
                <w:lang w:eastAsia="es-ES"/>
              </w:rPr>
              <w:t>inados sectores de la economía.</w:t>
            </w: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Pr>
                <w:rFonts w:ascii="Arial" w:eastAsia="Times New Roman" w:hAnsi="Arial" w:cs="Arial"/>
                <w:color w:val="4F81BD" w:themeColor="accent1"/>
                <w:sz w:val="24"/>
                <w:szCs w:val="24"/>
                <w:lang w:eastAsia="es-ES"/>
              </w:rPr>
              <w:t>En Brasil, nos mejores ejemplos son las dichas Agencias Reguladoras, como:</w:t>
            </w:r>
          </w:p>
          <w:p w:rsidR="004C4D70" w:rsidRP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La A</w:t>
            </w:r>
            <w:r w:rsidR="00BC585B">
              <w:rPr>
                <w:rFonts w:ascii="Arial" w:eastAsia="Times New Roman" w:hAnsi="Arial" w:cs="Arial"/>
                <w:color w:val="4F81BD" w:themeColor="accent1"/>
                <w:sz w:val="24"/>
                <w:szCs w:val="24"/>
                <w:lang w:val="pt-BR" w:eastAsia="es-ES"/>
              </w:rPr>
              <w:t>gência Nacional do Petróleo, Gás Natural e Biocombustíveis (ANP)</w:t>
            </w: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La</w:t>
            </w:r>
            <w:r w:rsidR="00BC585B">
              <w:rPr>
                <w:rFonts w:ascii="Arial" w:eastAsia="Times New Roman" w:hAnsi="Arial" w:cs="Arial"/>
                <w:color w:val="4F81BD" w:themeColor="accent1"/>
                <w:sz w:val="24"/>
                <w:szCs w:val="24"/>
                <w:lang w:val="pt-BR" w:eastAsia="es-ES"/>
              </w:rPr>
              <w:t xml:space="preserve"> Agência Nacional de Transporte Terrestres (ANTT)</w:t>
            </w:r>
            <w:r w:rsidR="00FC2836">
              <w:rPr>
                <w:rFonts w:ascii="Arial" w:eastAsia="Times New Roman" w:hAnsi="Arial" w:cs="Arial"/>
                <w:color w:val="4F81BD" w:themeColor="accent1"/>
                <w:sz w:val="24"/>
                <w:szCs w:val="24"/>
                <w:lang w:val="pt-BR" w:eastAsia="es-ES"/>
              </w:rPr>
              <w:t xml:space="preserve"> </w:t>
            </w: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 xml:space="preserve">La </w:t>
            </w:r>
            <w:r w:rsidR="00BC585B">
              <w:rPr>
                <w:rFonts w:ascii="Arial" w:eastAsia="Times New Roman" w:hAnsi="Arial" w:cs="Arial"/>
                <w:color w:val="4F81BD" w:themeColor="accent1"/>
                <w:sz w:val="24"/>
                <w:szCs w:val="24"/>
                <w:lang w:val="pt-BR" w:eastAsia="es-ES"/>
              </w:rPr>
              <w:t>Agência Nacional de Vigilância Sanitária (ANVISA)</w:t>
            </w:r>
            <w:r w:rsidR="00C9746B">
              <w:rPr>
                <w:rFonts w:ascii="Arial" w:eastAsia="Times New Roman" w:hAnsi="Arial" w:cs="Arial"/>
                <w:color w:val="4F81BD" w:themeColor="accent1"/>
                <w:sz w:val="24"/>
                <w:szCs w:val="24"/>
                <w:lang w:val="pt-BR" w:eastAsia="es-ES"/>
              </w:rPr>
              <w:t>.</w:t>
            </w:r>
            <w:r w:rsidR="00BC585B">
              <w:rPr>
                <w:rFonts w:ascii="Arial" w:eastAsia="Times New Roman" w:hAnsi="Arial" w:cs="Arial"/>
                <w:color w:val="4F81BD" w:themeColor="accent1"/>
                <w:sz w:val="24"/>
                <w:szCs w:val="24"/>
                <w:lang w:val="pt-BR" w:eastAsia="es-ES"/>
              </w:rPr>
              <w:t xml:space="preserve"> </w:t>
            </w:r>
          </w:p>
          <w:p w:rsidR="006306A0" w:rsidRDefault="006306A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306A0" w:rsidRDefault="006306A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306A0" w:rsidRPr="006306A0" w:rsidRDefault="006306A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6306A0">
              <w:rPr>
                <w:rFonts w:ascii="Arial" w:eastAsia="Times New Roman" w:hAnsi="Arial" w:cs="Arial"/>
                <w:color w:val="4F81BD" w:themeColor="accent1"/>
                <w:sz w:val="24"/>
                <w:szCs w:val="24"/>
                <w:lang w:eastAsia="es-ES"/>
              </w:rPr>
              <w:t>Otros ejemplos son:</w:t>
            </w:r>
          </w:p>
          <w:p w:rsidR="006306A0" w:rsidRDefault="006306A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306A0" w:rsidRDefault="006306A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Banco Central de Brasil (BACEN)</w:t>
            </w:r>
          </w:p>
          <w:p w:rsidR="006306A0" w:rsidRDefault="006306A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306A0" w:rsidRDefault="006306A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Banco Nacional de Desenvolvimento (BNDES)</w:t>
            </w:r>
          </w:p>
          <w:p w:rsidR="006306A0" w:rsidRDefault="006306A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C4D70" w:rsidRDefault="004C4D70"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03063A" w:rsidRPr="00C11546" w:rsidRDefault="004C4D70" w:rsidP="00C1154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C11546">
              <w:rPr>
                <w:rFonts w:ascii="Arial" w:eastAsia="Times New Roman" w:hAnsi="Arial" w:cs="Arial"/>
                <w:color w:val="4F81BD" w:themeColor="accent1"/>
                <w:sz w:val="24"/>
                <w:szCs w:val="24"/>
                <w:lang w:eastAsia="es-ES"/>
              </w:rPr>
              <w:lastRenderedPageBreak/>
              <w:t xml:space="preserve">Consideradas sus </w:t>
            </w:r>
            <w:r w:rsidR="00C11546" w:rsidRPr="00C11546">
              <w:rPr>
                <w:rFonts w:ascii="Arial" w:eastAsia="Times New Roman" w:hAnsi="Arial" w:cs="Arial"/>
                <w:color w:val="4F81BD" w:themeColor="accent1"/>
                <w:sz w:val="24"/>
                <w:szCs w:val="24"/>
                <w:lang w:eastAsia="es-ES"/>
              </w:rPr>
              <w:t>competencias</w:t>
            </w:r>
            <w:r w:rsidRPr="00C11546">
              <w:rPr>
                <w:rFonts w:ascii="Arial" w:eastAsia="Times New Roman" w:hAnsi="Arial" w:cs="Arial"/>
                <w:color w:val="4F81BD" w:themeColor="accent1"/>
                <w:sz w:val="24"/>
                <w:szCs w:val="24"/>
                <w:lang w:eastAsia="es-ES"/>
              </w:rPr>
              <w:t xml:space="preserve">, las </w:t>
            </w:r>
            <w:r w:rsidR="00C11546" w:rsidRPr="00C11546">
              <w:rPr>
                <w:rFonts w:ascii="Arial" w:eastAsia="Times New Roman" w:hAnsi="Arial" w:cs="Arial"/>
                <w:color w:val="4F81BD" w:themeColor="accent1"/>
                <w:sz w:val="24"/>
                <w:szCs w:val="24"/>
                <w:lang w:eastAsia="es-ES"/>
              </w:rPr>
              <w:t>Agencias</w:t>
            </w:r>
            <w:r w:rsidRPr="00C11546">
              <w:rPr>
                <w:rFonts w:ascii="Arial" w:eastAsia="Times New Roman" w:hAnsi="Arial" w:cs="Arial"/>
                <w:color w:val="4F81BD" w:themeColor="accent1"/>
                <w:sz w:val="24"/>
                <w:szCs w:val="24"/>
                <w:lang w:eastAsia="es-ES"/>
              </w:rPr>
              <w:t xml:space="preserve"> Reguladoras tienen acceso a diferentes informaciones</w:t>
            </w:r>
            <w:r w:rsidR="00C11546" w:rsidRPr="00C11546">
              <w:rPr>
                <w:rFonts w:ascii="Arial" w:eastAsia="Times New Roman" w:hAnsi="Arial" w:cs="Arial"/>
                <w:color w:val="4F81BD" w:themeColor="accent1"/>
                <w:sz w:val="24"/>
                <w:szCs w:val="24"/>
                <w:lang w:eastAsia="es-ES"/>
              </w:rPr>
              <w:t>, como por ejem</w:t>
            </w:r>
            <w:r w:rsidR="00C11546">
              <w:rPr>
                <w:rFonts w:ascii="Arial" w:eastAsia="Times New Roman" w:hAnsi="Arial" w:cs="Arial"/>
                <w:color w:val="4F81BD" w:themeColor="accent1"/>
                <w:sz w:val="24"/>
                <w:szCs w:val="24"/>
                <w:lang w:eastAsia="es-ES"/>
              </w:rPr>
              <w:t xml:space="preserve">plo </w:t>
            </w:r>
            <w:r w:rsidR="00C11546" w:rsidRPr="00C11546">
              <w:rPr>
                <w:rFonts w:ascii="Arial" w:eastAsia="Times New Roman" w:hAnsi="Arial" w:cs="Arial"/>
                <w:color w:val="4F81BD" w:themeColor="accent1"/>
                <w:sz w:val="24"/>
                <w:szCs w:val="24"/>
                <w:lang w:eastAsia="es-ES"/>
              </w:rPr>
              <w:t xml:space="preserve">informaciones </w:t>
            </w:r>
            <w:r w:rsidR="00675A67" w:rsidRPr="00C11546">
              <w:rPr>
                <w:rFonts w:ascii="Arial" w:eastAsia="Times New Roman" w:hAnsi="Arial" w:cs="Arial"/>
                <w:color w:val="4F81BD" w:themeColor="accent1"/>
                <w:sz w:val="24"/>
                <w:szCs w:val="24"/>
                <w:lang w:eastAsia="es-ES"/>
              </w:rPr>
              <w:t>contables</w:t>
            </w:r>
            <w:r w:rsidR="00C11546" w:rsidRPr="00C11546">
              <w:rPr>
                <w:rFonts w:ascii="Arial" w:eastAsia="Times New Roman" w:hAnsi="Arial" w:cs="Arial"/>
                <w:color w:val="4F81BD" w:themeColor="accent1"/>
                <w:sz w:val="24"/>
                <w:szCs w:val="24"/>
                <w:lang w:eastAsia="es-ES"/>
              </w:rPr>
              <w:t xml:space="preserve"> de empresas privadas, </w:t>
            </w:r>
            <w:proofErr w:type="gramStart"/>
            <w:r w:rsidR="00FE2D9D">
              <w:rPr>
                <w:rFonts w:ascii="Arial" w:eastAsia="Times New Roman" w:hAnsi="Arial" w:cs="Arial"/>
                <w:color w:val="4F81BD" w:themeColor="accent1"/>
                <w:sz w:val="24"/>
                <w:szCs w:val="24"/>
                <w:lang w:eastAsia="es-ES"/>
              </w:rPr>
              <w:t>contractos</w:t>
            </w:r>
            <w:proofErr w:type="gramEnd"/>
            <w:r w:rsidR="00FE2D9D">
              <w:rPr>
                <w:rFonts w:ascii="Arial" w:eastAsia="Times New Roman" w:hAnsi="Arial" w:cs="Arial"/>
                <w:color w:val="4F81BD" w:themeColor="accent1"/>
                <w:sz w:val="24"/>
                <w:szCs w:val="24"/>
                <w:lang w:eastAsia="es-ES"/>
              </w:rPr>
              <w:t xml:space="preserve">, convenios, </w:t>
            </w:r>
            <w:r w:rsidR="00CF4533">
              <w:rPr>
                <w:rFonts w:ascii="Arial" w:eastAsia="Times New Roman" w:hAnsi="Arial" w:cs="Arial"/>
                <w:color w:val="4F81BD" w:themeColor="accent1"/>
                <w:sz w:val="24"/>
                <w:szCs w:val="24"/>
                <w:lang w:eastAsia="es-ES"/>
              </w:rPr>
              <w:t xml:space="preserve">balances patrimoniales, créditos y pendencias tributarias, demostrativos económicos de empresas privadas, </w:t>
            </w:r>
            <w:r w:rsidR="00675A67">
              <w:rPr>
                <w:rFonts w:ascii="Arial" w:eastAsia="Times New Roman" w:hAnsi="Arial" w:cs="Arial"/>
                <w:color w:val="4F81BD" w:themeColor="accent1"/>
                <w:sz w:val="24"/>
                <w:szCs w:val="24"/>
                <w:lang w:eastAsia="es-ES"/>
              </w:rPr>
              <w:t>entre otros.</w:t>
            </w:r>
          </w:p>
          <w:p w:rsidR="00E959FB" w:rsidRDefault="00E959FB"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836DDD" w:rsidRDefault="00836DDD"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Pr>
                <w:rFonts w:ascii="Arial" w:eastAsia="Times New Roman" w:hAnsi="Arial" w:cs="Arial"/>
                <w:color w:val="4F81BD" w:themeColor="accent1"/>
                <w:sz w:val="24"/>
                <w:szCs w:val="24"/>
                <w:lang w:eastAsia="es-ES"/>
              </w:rPr>
              <w:t>A título de curiosidad, transcribimos algunas de las competencias de la ANP, extraídas de su sitio electrónico:</w:t>
            </w:r>
          </w:p>
          <w:p w:rsidR="00495993" w:rsidRPr="00C11546" w:rsidRDefault="00495993"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E959FB" w:rsidRPr="00E959FB" w:rsidRDefault="00FE2D9D" w:rsidP="00E959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w:t>
            </w:r>
            <w:r w:rsidR="00E959FB" w:rsidRPr="00E959FB">
              <w:rPr>
                <w:rFonts w:ascii="Arial" w:eastAsia="Times New Roman" w:hAnsi="Arial" w:cs="Arial"/>
                <w:color w:val="4F81BD" w:themeColor="accent1"/>
                <w:sz w:val="24"/>
                <w:szCs w:val="24"/>
                <w:lang w:val="pt-BR" w:eastAsia="es-ES"/>
              </w:rPr>
              <w:t>Uma das finalidades da ANP é a fiscalização das atividades econômicas integrantes da indústria do petróleo, do gás natural e dos biocombustíveis, diretamente ou mediante convênios com outros órgãos públicos. A atuação da Agência na fiscalização abrange as áreas de exploração, produção, refino e processamento de petróleo e gás natural, movimentação de petróleo e derivados, biocombustíveis e gás natural, e o abastecimento de derivados de petróleo e gás e biocombustíveis.</w:t>
            </w:r>
          </w:p>
          <w:p w:rsidR="00E959FB" w:rsidRPr="00E959FB" w:rsidRDefault="00E959FB" w:rsidP="00E959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E959FB" w:rsidRDefault="00E959FB" w:rsidP="00E959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E959FB">
              <w:rPr>
                <w:rFonts w:ascii="Arial" w:eastAsia="Times New Roman" w:hAnsi="Arial" w:cs="Arial"/>
                <w:color w:val="4F81BD" w:themeColor="accent1"/>
                <w:sz w:val="24"/>
                <w:szCs w:val="24"/>
                <w:lang w:val="pt-BR" w:eastAsia="es-ES"/>
              </w:rPr>
              <w:t>A ANP zela para que as empresas reguladas cumpram os contratos de exploração e produção de óleo e gás e ponham em prática os procedimentos e técnicas comprovadamente eficazes para a segurança das operações, a eficiência energética, a proteção do meio ambiente e da saúde humana, e atua para garantir a qualidade dos combustíveis e o cumprimento das regras vigentes pelos agentes do mercado do abastecimento nacional.</w:t>
            </w:r>
          </w:p>
          <w:p w:rsidR="00E959FB" w:rsidRDefault="00E959FB"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E959FB" w:rsidRPr="00E959FB" w:rsidRDefault="00E959FB"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E959FB">
              <w:rPr>
                <w:rFonts w:ascii="Arial" w:eastAsia="Times New Roman" w:hAnsi="Arial" w:cs="Arial"/>
                <w:color w:val="4F81BD" w:themeColor="accent1"/>
                <w:sz w:val="24"/>
                <w:szCs w:val="24"/>
                <w:lang w:val="pt-BR" w:eastAsia="es-ES"/>
              </w:rPr>
              <w:t>A ANP é responsável por fiscalizar o cumprimento dos percentuais de Conteúdo Local (CL) definidos nos contratos de concessão, de cessão onerosa e de partilha da produção, para exploração, desenvolvimento da produção de petróleo e/ou gás natural, estabelecidos entre a Agência, Ministério de Minas e Energia, concessionári</w:t>
            </w:r>
            <w:r w:rsidR="00FE2D9D">
              <w:rPr>
                <w:rFonts w:ascii="Arial" w:eastAsia="Times New Roman" w:hAnsi="Arial" w:cs="Arial"/>
                <w:color w:val="4F81BD" w:themeColor="accent1"/>
                <w:sz w:val="24"/>
                <w:szCs w:val="24"/>
                <w:lang w:val="pt-BR" w:eastAsia="es-ES"/>
              </w:rPr>
              <w:t xml:space="preserve">os, cessionários e </w:t>
            </w:r>
            <w:r w:rsidR="00E67257">
              <w:rPr>
                <w:rFonts w:ascii="Arial" w:eastAsia="Times New Roman" w:hAnsi="Arial" w:cs="Arial"/>
                <w:color w:val="4F81BD" w:themeColor="accent1"/>
                <w:sz w:val="24"/>
                <w:szCs w:val="24"/>
                <w:lang w:val="pt-BR" w:eastAsia="es-ES"/>
              </w:rPr>
              <w:t>contratados. ”</w:t>
            </w:r>
          </w:p>
          <w:p w:rsidR="0003063A" w:rsidRPr="0045511F" w:rsidRDefault="0003063A"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86107" w:rsidRPr="00EE2909" w:rsidRDefault="00EE2909"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EE2909">
              <w:rPr>
                <w:rFonts w:ascii="Arial" w:eastAsia="Times New Roman" w:hAnsi="Arial" w:cs="Arial"/>
                <w:color w:val="4F81BD" w:themeColor="accent1"/>
                <w:sz w:val="24"/>
                <w:szCs w:val="24"/>
                <w:lang w:eastAsia="es-ES"/>
              </w:rPr>
              <w:t>Hay juzgados de CGU en que se solicit</w:t>
            </w:r>
            <w:r>
              <w:rPr>
                <w:rFonts w:ascii="Arial" w:eastAsia="Times New Roman" w:hAnsi="Arial" w:cs="Arial"/>
                <w:color w:val="4F81BD" w:themeColor="accent1"/>
                <w:sz w:val="24"/>
                <w:szCs w:val="24"/>
                <w:lang w:eastAsia="es-ES"/>
              </w:rPr>
              <w:t xml:space="preserve">ó copia integral de procesos administrativos de registro de medicamentos </w:t>
            </w:r>
            <w:r w:rsidR="00E67257">
              <w:rPr>
                <w:rFonts w:ascii="Arial" w:eastAsia="Times New Roman" w:hAnsi="Arial" w:cs="Arial"/>
                <w:color w:val="4F81BD" w:themeColor="accent1"/>
                <w:sz w:val="24"/>
                <w:szCs w:val="24"/>
                <w:lang w:eastAsia="es-ES"/>
              </w:rPr>
              <w:t>genéricos,</w:t>
            </w:r>
            <w:r>
              <w:rPr>
                <w:rFonts w:ascii="Arial" w:eastAsia="Times New Roman" w:hAnsi="Arial" w:cs="Arial"/>
                <w:color w:val="4F81BD" w:themeColor="accent1"/>
                <w:sz w:val="24"/>
                <w:szCs w:val="24"/>
                <w:lang w:eastAsia="es-ES"/>
              </w:rPr>
              <w:t xml:space="preserve"> con informaciones de principio activo, composición, resultados de testes realizados, etc.  </w:t>
            </w:r>
          </w:p>
          <w:p w:rsidR="00686107" w:rsidRPr="006306A0" w:rsidRDefault="00686107" w:rsidP="0003063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61563C" w:rsidRDefault="009E2A68" w:rsidP="0061563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287734">
              <w:rPr>
                <w:rFonts w:ascii="Arial" w:eastAsia="Times New Roman" w:hAnsi="Arial" w:cs="Arial"/>
                <w:sz w:val="24"/>
                <w:szCs w:val="24"/>
                <w:lang w:val="es-MX" w:eastAsia="es-ES"/>
              </w:rPr>
              <w:t>Cuáles son los parámetros de confidencialidad de la información que se encuentran establecidos en su normativa vigente?</w:t>
            </w:r>
          </w:p>
          <w:p w:rsidR="0045511F"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55B31"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Pr>
                <w:rFonts w:ascii="Arial" w:eastAsia="Times New Roman" w:hAnsi="Arial" w:cs="Arial"/>
                <w:color w:val="4F81BD" w:themeColor="accent1"/>
                <w:sz w:val="24"/>
                <w:szCs w:val="24"/>
                <w:lang w:eastAsia="es-ES"/>
              </w:rPr>
              <w:t xml:space="preserve">Según la </w:t>
            </w:r>
            <w:r w:rsidRPr="00E5117C">
              <w:rPr>
                <w:rFonts w:ascii="Arial" w:eastAsia="Times New Roman" w:hAnsi="Arial" w:cs="Arial"/>
                <w:color w:val="4F81BD" w:themeColor="accent1"/>
                <w:sz w:val="24"/>
                <w:szCs w:val="24"/>
                <w:lang w:eastAsia="es-ES"/>
              </w:rPr>
              <w:t>Ley de Acceso a Informac</w:t>
            </w:r>
            <w:r>
              <w:rPr>
                <w:rFonts w:ascii="Arial" w:eastAsia="Times New Roman" w:hAnsi="Arial" w:cs="Arial"/>
                <w:color w:val="4F81BD" w:themeColor="accent1"/>
                <w:sz w:val="24"/>
                <w:szCs w:val="24"/>
                <w:lang w:eastAsia="es-ES"/>
              </w:rPr>
              <w:t>ión P</w:t>
            </w:r>
            <w:r w:rsidR="00055B31">
              <w:rPr>
                <w:rFonts w:ascii="Arial" w:eastAsia="Times New Roman" w:hAnsi="Arial" w:cs="Arial"/>
                <w:color w:val="4F81BD" w:themeColor="accent1"/>
                <w:sz w:val="24"/>
                <w:szCs w:val="24"/>
                <w:lang w:eastAsia="es-ES"/>
              </w:rPr>
              <w:t>ública de Brasil, Ley 12.527/11:</w:t>
            </w:r>
          </w:p>
          <w:p w:rsidR="00055B31" w:rsidRDefault="00055B31"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45511F" w:rsidRPr="00055B31" w:rsidRDefault="00055B31"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055B31">
              <w:rPr>
                <w:rFonts w:ascii="Arial" w:eastAsia="Times New Roman" w:hAnsi="Arial" w:cs="Arial"/>
                <w:color w:val="4F81BD" w:themeColor="accent1"/>
                <w:sz w:val="24"/>
                <w:szCs w:val="24"/>
                <w:lang w:val="pt-BR" w:eastAsia="es-ES"/>
              </w:rPr>
              <w:t>“</w:t>
            </w:r>
            <w:r w:rsidR="0045511F" w:rsidRPr="00055B31">
              <w:rPr>
                <w:rFonts w:ascii="Arial" w:eastAsia="Times New Roman" w:hAnsi="Arial" w:cs="Arial"/>
                <w:color w:val="4F81BD" w:themeColor="accent1"/>
                <w:sz w:val="24"/>
                <w:szCs w:val="24"/>
                <w:lang w:val="pt-BR" w:eastAsia="es-ES"/>
              </w:rPr>
              <w:t>Art.</w:t>
            </w:r>
            <w:r w:rsidRPr="00055B31">
              <w:rPr>
                <w:rFonts w:ascii="Arial" w:eastAsia="Times New Roman" w:hAnsi="Arial" w:cs="Arial"/>
                <w:color w:val="4F81BD" w:themeColor="accent1"/>
                <w:sz w:val="24"/>
                <w:szCs w:val="24"/>
                <w:lang w:val="pt-BR" w:eastAsia="es-ES"/>
              </w:rPr>
              <w:t xml:space="preserve"> </w:t>
            </w:r>
            <w:r w:rsidR="0045511F" w:rsidRPr="00300AEC">
              <w:rPr>
                <w:rFonts w:ascii="Arial" w:eastAsia="Times New Roman" w:hAnsi="Arial" w:cs="Arial"/>
                <w:color w:val="4F81BD" w:themeColor="accent1"/>
                <w:sz w:val="24"/>
                <w:szCs w:val="24"/>
                <w:lang w:val="pt-BR" w:eastAsia="es-ES"/>
              </w:rPr>
              <w:t xml:space="preserve">22.  O disposto nesta Lei </w:t>
            </w:r>
            <w:r w:rsidR="0045511F" w:rsidRPr="00055B31">
              <w:rPr>
                <w:rFonts w:ascii="Arial" w:eastAsia="Times New Roman" w:hAnsi="Arial" w:cs="Arial"/>
                <w:color w:val="4F81BD" w:themeColor="accent1"/>
                <w:sz w:val="24"/>
                <w:szCs w:val="24"/>
                <w:u w:val="single"/>
                <w:lang w:val="pt-BR" w:eastAsia="es-ES"/>
              </w:rPr>
              <w:t>não exclui as demais hipóteses legais de sigilo</w:t>
            </w:r>
            <w:r w:rsidR="0045511F" w:rsidRPr="00300AEC">
              <w:rPr>
                <w:rFonts w:ascii="Arial" w:eastAsia="Times New Roman" w:hAnsi="Arial" w:cs="Arial"/>
                <w:color w:val="4F81BD" w:themeColor="accent1"/>
                <w:sz w:val="24"/>
                <w:szCs w:val="24"/>
                <w:lang w:val="pt-BR" w:eastAsia="es-ES"/>
              </w:rPr>
              <w:t xml:space="preserve"> e de segredo de justiça nem as hipóteses de segredo industrial decorrentes da exploração direta de atividade econômica pelo Estado ou por pessoa física ou entidade privada que tenha qualquer vínculo com o poder </w:t>
            </w:r>
            <w:r w:rsidR="0042736F" w:rsidRPr="00300AEC">
              <w:rPr>
                <w:rFonts w:ascii="Arial" w:eastAsia="Times New Roman" w:hAnsi="Arial" w:cs="Arial"/>
                <w:color w:val="4F81BD" w:themeColor="accent1"/>
                <w:sz w:val="24"/>
                <w:szCs w:val="24"/>
                <w:lang w:val="pt-BR" w:eastAsia="es-ES"/>
              </w:rPr>
              <w:t>público.</w:t>
            </w:r>
            <w:r w:rsidR="0042736F">
              <w:rPr>
                <w:rFonts w:ascii="Arial" w:eastAsia="Times New Roman" w:hAnsi="Arial" w:cs="Arial"/>
                <w:color w:val="4F81BD" w:themeColor="accent1"/>
                <w:sz w:val="24"/>
                <w:szCs w:val="24"/>
                <w:lang w:val="pt-BR" w:eastAsia="es-ES"/>
              </w:rPr>
              <w:t xml:space="preserve"> ”</w:t>
            </w:r>
            <w:r w:rsidR="0045511F">
              <w:rPr>
                <w:rFonts w:ascii="Arial" w:eastAsia="Times New Roman" w:hAnsi="Arial" w:cs="Arial"/>
                <w:color w:val="4F81BD" w:themeColor="accent1"/>
                <w:sz w:val="24"/>
                <w:szCs w:val="24"/>
                <w:lang w:val="pt-BR" w:eastAsia="es-ES"/>
              </w:rPr>
              <w:t xml:space="preserve"> </w:t>
            </w:r>
          </w:p>
          <w:p w:rsidR="0045511F"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5511F" w:rsidRPr="006306A0" w:rsidRDefault="00055B31"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6306A0">
              <w:rPr>
                <w:rFonts w:ascii="Arial" w:eastAsia="Times New Roman" w:hAnsi="Arial" w:cs="Arial"/>
                <w:color w:val="4F81BD" w:themeColor="accent1"/>
                <w:sz w:val="24"/>
                <w:szCs w:val="24"/>
                <w:lang w:val="pt-BR" w:eastAsia="es-ES"/>
              </w:rPr>
              <w:lastRenderedPageBreak/>
              <w:t xml:space="preserve">Adicionalmente, </w:t>
            </w:r>
            <w:proofErr w:type="spellStart"/>
            <w:r w:rsidR="000305F4" w:rsidRPr="006306A0">
              <w:rPr>
                <w:rFonts w:ascii="Arial" w:eastAsia="Times New Roman" w:hAnsi="Arial" w:cs="Arial"/>
                <w:color w:val="4F81BD" w:themeColor="accent1"/>
                <w:sz w:val="24"/>
                <w:szCs w:val="24"/>
                <w:lang w:val="pt-BR" w:eastAsia="es-ES"/>
              </w:rPr>
              <w:t>establece</w:t>
            </w:r>
            <w:proofErr w:type="spellEnd"/>
            <w:r w:rsidRPr="006306A0">
              <w:rPr>
                <w:rFonts w:ascii="Arial" w:eastAsia="Times New Roman" w:hAnsi="Arial" w:cs="Arial"/>
                <w:color w:val="4F81BD" w:themeColor="accent1"/>
                <w:sz w:val="24"/>
                <w:szCs w:val="24"/>
                <w:lang w:val="pt-BR" w:eastAsia="es-ES"/>
              </w:rPr>
              <w:t xml:space="preserve"> </w:t>
            </w:r>
            <w:proofErr w:type="spellStart"/>
            <w:r w:rsidRPr="006306A0">
              <w:rPr>
                <w:rFonts w:ascii="Arial" w:eastAsia="Times New Roman" w:hAnsi="Arial" w:cs="Arial"/>
                <w:color w:val="4F81BD" w:themeColor="accent1"/>
                <w:sz w:val="24"/>
                <w:szCs w:val="24"/>
                <w:lang w:val="pt-BR" w:eastAsia="es-ES"/>
              </w:rPr>
              <w:t>el</w:t>
            </w:r>
            <w:proofErr w:type="spellEnd"/>
            <w:r w:rsidRPr="006306A0">
              <w:rPr>
                <w:rFonts w:ascii="Arial" w:eastAsia="Times New Roman" w:hAnsi="Arial" w:cs="Arial"/>
                <w:color w:val="4F81BD" w:themeColor="accent1"/>
                <w:sz w:val="24"/>
                <w:szCs w:val="24"/>
                <w:lang w:val="pt-BR" w:eastAsia="es-ES"/>
              </w:rPr>
              <w:t xml:space="preserve"> Decreto 7.724/12:</w:t>
            </w:r>
          </w:p>
          <w:p w:rsidR="0045511F"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5511F" w:rsidRPr="00DC6E19" w:rsidRDefault="00895DC0"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w:t>
            </w:r>
            <w:r w:rsidR="0045511F">
              <w:rPr>
                <w:rFonts w:ascii="Arial" w:eastAsia="Times New Roman" w:hAnsi="Arial" w:cs="Arial"/>
                <w:color w:val="4F81BD" w:themeColor="accent1"/>
                <w:sz w:val="24"/>
                <w:szCs w:val="24"/>
                <w:lang w:val="pt-BR" w:eastAsia="es-ES"/>
              </w:rPr>
              <w:t>Art. 5º</w:t>
            </w:r>
            <w:r w:rsidR="0045511F" w:rsidRPr="00DC6E19">
              <w:rPr>
                <w:rFonts w:ascii="Arial" w:eastAsia="Times New Roman" w:hAnsi="Arial" w:cs="Arial"/>
                <w:color w:val="4F81BD" w:themeColor="accent1"/>
                <w:sz w:val="24"/>
                <w:szCs w:val="24"/>
                <w:lang w:val="pt-BR" w:eastAsia="es-ES"/>
              </w:rPr>
              <w:t xml:space="preserve"> Sujeitam-se ao disposto neste Decreto os órgãos da administração direta, as autarquias, as fundações públicas, as empresas públicas, as sociedades de economia mista e as demais entidades controladas direta ou indiretamente pela União.</w:t>
            </w:r>
          </w:p>
          <w:p w:rsidR="0045511F" w:rsidRPr="00DC6E19"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5511F" w:rsidRPr="00DC6E19"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 1º</w:t>
            </w:r>
            <w:r w:rsidRPr="00DC6E19">
              <w:rPr>
                <w:rFonts w:ascii="Arial" w:eastAsia="Times New Roman" w:hAnsi="Arial" w:cs="Arial"/>
                <w:color w:val="4F81BD" w:themeColor="accent1"/>
                <w:sz w:val="24"/>
                <w:szCs w:val="24"/>
                <w:lang w:val="pt-BR" w:eastAsia="es-ES"/>
              </w:rPr>
              <w:t xml:space="preserve"> A divulgação de informações de empresas públicas, sociedade de economia mista e demais entidades controladas pela União </w:t>
            </w:r>
            <w:r w:rsidRPr="00895DC0">
              <w:rPr>
                <w:rFonts w:ascii="Arial" w:eastAsia="Times New Roman" w:hAnsi="Arial" w:cs="Arial"/>
                <w:color w:val="4F81BD" w:themeColor="accent1"/>
                <w:sz w:val="24"/>
                <w:szCs w:val="24"/>
                <w:u w:val="single"/>
                <w:lang w:val="pt-BR" w:eastAsia="es-ES"/>
              </w:rPr>
              <w:t>que atuem em regime de concorrência</w:t>
            </w:r>
            <w:r w:rsidRPr="00DC6E19">
              <w:rPr>
                <w:rFonts w:ascii="Arial" w:eastAsia="Times New Roman" w:hAnsi="Arial" w:cs="Arial"/>
                <w:color w:val="4F81BD" w:themeColor="accent1"/>
                <w:sz w:val="24"/>
                <w:szCs w:val="24"/>
                <w:lang w:val="pt-BR" w:eastAsia="es-ES"/>
              </w:rPr>
              <w:t xml:space="preserve">, sujeitas ao disposto no art. 173 da Constituição, estará submetida às normas pertinentes da Comissão de Valores Mobiliários, a fim </w:t>
            </w:r>
            <w:r w:rsidRPr="00895DC0">
              <w:rPr>
                <w:rFonts w:ascii="Arial" w:eastAsia="Times New Roman" w:hAnsi="Arial" w:cs="Arial"/>
                <w:color w:val="4F81BD" w:themeColor="accent1"/>
                <w:sz w:val="24"/>
                <w:szCs w:val="24"/>
                <w:u w:val="single"/>
                <w:lang w:val="pt-BR" w:eastAsia="es-ES"/>
              </w:rPr>
              <w:t>de assegurar sua competitividade, governança corporativa e, quando houver, os interesses de acionistas minoritários</w:t>
            </w:r>
            <w:r w:rsidRPr="00DC6E19">
              <w:rPr>
                <w:rFonts w:ascii="Arial" w:eastAsia="Times New Roman" w:hAnsi="Arial" w:cs="Arial"/>
                <w:color w:val="4F81BD" w:themeColor="accent1"/>
                <w:sz w:val="24"/>
                <w:szCs w:val="24"/>
                <w:lang w:val="pt-BR" w:eastAsia="es-ES"/>
              </w:rPr>
              <w:t>.</w:t>
            </w:r>
          </w:p>
          <w:p w:rsidR="0045511F" w:rsidRPr="00DC6E19"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5511F" w:rsidRPr="00DC6E19"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 xml:space="preserve">§ 2º </w:t>
            </w:r>
            <w:r w:rsidRPr="00DC6E19">
              <w:rPr>
                <w:rFonts w:ascii="Arial" w:eastAsia="Times New Roman" w:hAnsi="Arial" w:cs="Arial"/>
                <w:color w:val="4F81BD" w:themeColor="accent1"/>
                <w:sz w:val="24"/>
                <w:szCs w:val="24"/>
                <w:lang w:val="pt-BR" w:eastAsia="es-ES"/>
              </w:rPr>
              <w:t xml:space="preserve">Não se sujeitam ao disposto neste Decreto as informações relativas à </w:t>
            </w:r>
            <w:r w:rsidRPr="00DC6E19">
              <w:rPr>
                <w:rFonts w:ascii="Arial" w:eastAsia="Times New Roman" w:hAnsi="Arial" w:cs="Arial"/>
                <w:color w:val="4F81BD" w:themeColor="accent1"/>
                <w:sz w:val="24"/>
                <w:szCs w:val="24"/>
                <w:u w:val="single"/>
                <w:lang w:val="pt-BR" w:eastAsia="es-ES"/>
              </w:rPr>
              <w:t>atividade empresarial de pessoas físicas ou jurídicas de direito privado</w:t>
            </w:r>
            <w:r w:rsidRPr="00DC6E19">
              <w:rPr>
                <w:rFonts w:ascii="Arial" w:eastAsia="Times New Roman" w:hAnsi="Arial" w:cs="Arial"/>
                <w:color w:val="4F81BD" w:themeColor="accent1"/>
                <w:sz w:val="24"/>
                <w:szCs w:val="24"/>
                <w:lang w:val="pt-BR" w:eastAsia="es-ES"/>
              </w:rPr>
              <w:t xml:space="preserve"> obtidas pelo Banco Central do Brasil, pelas agências reguladoras ou por outros órgãos ou entidades no exercício de atividade de controle, regulação e supervisão da atividade econômica </w:t>
            </w:r>
            <w:r w:rsidRPr="00DC6E19">
              <w:rPr>
                <w:rFonts w:ascii="Arial" w:eastAsia="Times New Roman" w:hAnsi="Arial" w:cs="Arial"/>
                <w:color w:val="4F81BD" w:themeColor="accent1"/>
                <w:sz w:val="24"/>
                <w:szCs w:val="24"/>
                <w:u w:val="single"/>
                <w:lang w:val="pt-BR" w:eastAsia="es-ES"/>
              </w:rPr>
              <w:t>cuja divulgação possa representar vantagem competitiva a outros agentes econômicos</w:t>
            </w:r>
            <w:r w:rsidRPr="00DC6E19">
              <w:rPr>
                <w:rFonts w:ascii="Arial" w:eastAsia="Times New Roman" w:hAnsi="Arial" w:cs="Arial"/>
                <w:color w:val="4F81BD" w:themeColor="accent1"/>
                <w:sz w:val="24"/>
                <w:szCs w:val="24"/>
                <w:lang w:val="pt-BR" w:eastAsia="es-ES"/>
              </w:rPr>
              <w:t>.</w:t>
            </w:r>
          </w:p>
          <w:p w:rsidR="0045511F" w:rsidRPr="00DC6E19"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5511F" w:rsidRPr="00DC6E19"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Art. 6º</w:t>
            </w:r>
            <w:r w:rsidRPr="00DC6E19">
              <w:rPr>
                <w:rFonts w:ascii="Arial" w:eastAsia="Times New Roman" w:hAnsi="Arial" w:cs="Arial"/>
                <w:color w:val="4F81BD" w:themeColor="accent1"/>
                <w:sz w:val="24"/>
                <w:szCs w:val="24"/>
                <w:lang w:val="pt-BR" w:eastAsia="es-ES"/>
              </w:rPr>
              <w:t xml:space="preserve"> O acesso à informação disciplinado neste Decreto não se aplica:</w:t>
            </w:r>
          </w:p>
          <w:p w:rsidR="0045511F" w:rsidRPr="00DC6E19"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5511F"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DC6E19">
              <w:rPr>
                <w:rFonts w:ascii="Arial" w:eastAsia="Times New Roman" w:hAnsi="Arial" w:cs="Arial"/>
                <w:color w:val="4F81BD" w:themeColor="accent1"/>
                <w:sz w:val="24"/>
                <w:szCs w:val="24"/>
                <w:lang w:val="pt-BR" w:eastAsia="es-ES"/>
              </w:rPr>
              <w:t xml:space="preserve">I - </w:t>
            </w:r>
            <w:r w:rsidR="00BE229D" w:rsidRPr="00DC6E19">
              <w:rPr>
                <w:rFonts w:ascii="Arial" w:eastAsia="Times New Roman" w:hAnsi="Arial" w:cs="Arial"/>
                <w:color w:val="4F81BD" w:themeColor="accent1"/>
                <w:sz w:val="24"/>
                <w:szCs w:val="24"/>
                <w:lang w:val="pt-BR" w:eastAsia="es-ES"/>
              </w:rPr>
              <w:t>Às</w:t>
            </w:r>
            <w:r w:rsidRPr="00DC6E19">
              <w:rPr>
                <w:rFonts w:ascii="Arial" w:eastAsia="Times New Roman" w:hAnsi="Arial" w:cs="Arial"/>
                <w:color w:val="4F81BD" w:themeColor="accent1"/>
                <w:sz w:val="24"/>
                <w:szCs w:val="24"/>
                <w:lang w:val="pt-BR" w:eastAsia="es-ES"/>
              </w:rPr>
              <w:t xml:space="preserve"> hipóteses de sigilo previstas na legislação, como fiscal, bancário, </w:t>
            </w:r>
            <w:r w:rsidRPr="00DC6E19">
              <w:rPr>
                <w:rFonts w:ascii="Arial" w:eastAsia="Times New Roman" w:hAnsi="Arial" w:cs="Arial"/>
                <w:color w:val="4F81BD" w:themeColor="accent1"/>
                <w:sz w:val="24"/>
                <w:szCs w:val="24"/>
                <w:u w:val="single"/>
                <w:lang w:val="pt-BR" w:eastAsia="es-ES"/>
              </w:rPr>
              <w:t>de operações e serviços no mercado de capitais, comercial</w:t>
            </w:r>
            <w:r w:rsidRPr="00DC6E19">
              <w:rPr>
                <w:rFonts w:ascii="Arial" w:eastAsia="Times New Roman" w:hAnsi="Arial" w:cs="Arial"/>
                <w:color w:val="4F81BD" w:themeColor="accent1"/>
                <w:sz w:val="24"/>
                <w:szCs w:val="24"/>
                <w:lang w:val="pt-BR" w:eastAsia="es-ES"/>
              </w:rPr>
              <w:t>, profissional, industrial e segredo de justiça; e</w:t>
            </w:r>
          </w:p>
          <w:p w:rsidR="00B8373C" w:rsidRDefault="00B8373C"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B8373C" w:rsidRPr="00E0095A" w:rsidRDefault="00B8373C"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E0095A">
              <w:rPr>
                <w:rFonts w:ascii="Arial" w:eastAsia="Times New Roman" w:hAnsi="Arial" w:cs="Arial"/>
                <w:color w:val="4F81BD" w:themeColor="accent1"/>
                <w:sz w:val="24"/>
                <w:szCs w:val="24"/>
                <w:lang w:eastAsia="es-ES"/>
              </w:rPr>
              <w:t>[...]”</w:t>
            </w:r>
          </w:p>
          <w:p w:rsidR="0045511F" w:rsidRPr="00E0095A"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E0095A">
              <w:rPr>
                <w:rFonts w:ascii="Arial" w:eastAsia="Times New Roman" w:hAnsi="Arial" w:cs="Arial"/>
                <w:sz w:val="24"/>
                <w:szCs w:val="24"/>
                <w:lang w:eastAsia="es-ES"/>
              </w:rPr>
              <w:t xml:space="preserve"> </w:t>
            </w:r>
          </w:p>
          <w:p w:rsidR="00160CC7" w:rsidRPr="0049243E" w:rsidRDefault="00E0095A"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E0095A">
              <w:rPr>
                <w:rFonts w:ascii="Arial" w:eastAsia="Times New Roman" w:hAnsi="Arial" w:cs="Arial"/>
                <w:color w:val="4F81BD" w:themeColor="accent1"/>
                <w:sz w:val="24"/>
                <w:szCs w:val="24"/>
                <w:lang w:eastAsia="es-ES"/>
              </w:rPr>
              <w:t xml:space="preserve">En relación al sigilo empresarial, establecen también, el Código Civil y La Ley </w:t>
            </w:r>
            <w:r w:rsidRPr="0049243E">
              <w:rPr>
                <w:rFonts w:ascii="Arial" w:eastAsia="Times New Roman" w:hAnsi="Arial" w:cs="Arial"/>
                <w:color w:val="4F81BD" w:themeColor="accent1"/>
                <w:sz w:val="24"/>
                <w:szCs w:val="24"/>
                <w:lang w:eastAsia="es-ES"/>
              </w:rPr>
              <w:t>de Sociedades Anónimas</w:t>
            </w:r>
            <w:r w:rsidR="0049243E" w:rsidRPr="0049243E">
              <w:rPr>
                <w:rFonts w:ascii="Arial" w:eastAsia="Times New Roman" w:hAnsi="Arial" w:cs="Arial"/>
                <w:color w:val="4F81BD" w:themeColor="accent1"/>
                <w:sz w:val="24"/>
                <w:szCs w:val="24"/>
                <w:lang w:eastAsia="es-ES"/>
              </w:rPr>
              <w:t xml:space="preserve"> (Ley 6.404/76)</w:t>
            </w:r>
            <w:r w:rsidRPr="0049243E">
              <w:rPr>
                <w:rFonts w:ascii="Arial" w:eastAsia="Times New Roman" w:hAnsi="Arial" w:cs="Arial"/>
                <w:color w:val="4F81BD" w:themeColor="accent1"/>
                <w:sz w:val="24"/>
                <w:szCs w:val="24"/>
                <w:lang w:eastAsia="es-ES"/>
              </w:rPr>
              <w:t>, respectivamente:</w:t>
            </w:r>
          </w:p>
          <w:p w:rsidR="00E0095A" w:rsidRPr="0049243E" w:rsidRDefault="00E0095A"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49243E" w:rsidRPr="006306A0" w:rsidRDefault="00036D7B"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roofErr w:type="spellStart"/>
            <w:r w:rsidRPr="006306A0">
              <w:rPr>
                <w:rFonts w:ascii="Arial" w:eastAsia="Times New Roman" w:hAnsi="Arial" w:cs="Arial"/>
                <w:color w:val="4F81BD" w:themeColor="accent1"/>
                <w:sz w:val="24"/>
                <w:szCs w:val="24"/>
                <w:lang w:val="pt-BR" w:eastAsia="es-ES"/>
              </w:rPr>
              <w:t>Ley</w:t>
            </w:r>
            <w:proofErr w:type="spellEnd"/>
            <w:r w:rsidR="0049243E" w:rsidRPr="006306A0">
              <w:rPr>
                <w:rFonts w:ascii="Arial" w:eastAsia="Times New Roman" w:hAnsi="Arial" w:cs="Arial"/>
                <w:color w:val="4F81BD" w:themeColor="accent1"/>
                <w:sz w:val="24"/>
                <w:szCs w:val="24"/>
                <w:lang w:val="pt-BR" w:eastAsia="es-ES"/>
              </w:rPr>
              <w:t xml:space="preserve"> 6.404/76, Art. 155:</w:t>
            </w:r>
          </w:p>
          <w:p w:rsidR="0049243E" w:rsidRPr="006306A0" w:rsidRDefault="0049243E"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49243E" w:rsidRPr="0049243E" w:rsidRDefault="00036D7B" w:rsidP="0049243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lang w:val="pt-BR"/>
              </w:rPr>
            </w:pPr>
            <w:r>
              <w:rPr>
                <w:rFonts w:ascii="Arial" w:eastAsia="Times New Roman" w:hAnsi="Arial" w:cs="Arial"/>
                <w:iCs/>
                <w:color w:val="4F81BD" w:themeColor="accent1"/>
                <w:sz w:val="24"/>
                <w:szCs w:val="24"/>
                <w:lang w:val="pt-BR"/>
              </w:rPr>
              <w:t>“</w:t>
            </w:r>
            <w:r w:rsidR="0049243E" w:rsidRPr="0049243E">
              <w:rPr>
                <w:rFonts w:ascii="Arial" w:eastAsia="Times New Roman" w:hAnsi="Arial" w:cs="Arial"/>
                <w:iCs/>
                <w:color w:val="4F81BD" w:themeColor="accent1"/>
                <w:sz w:val="24"/>
                <w:szCs w:val="24"/>
                <w:lang w:val="pt-BR"/>
              </w:rPr>
              <w:t xml:space="preserve">§ 1º Cumpre, ademais, ao administrador de companhia aberta, </w:t>
            </w:r>
            <w:r w:rsidR="0049243E" w:rsidRPr="001F5174">
              <w:rPr>
                <w:rFonts w:ascii="Arial" w:eastAsia="Times New Roman" w:hAnsi="Arial" w:cs="Arial"/>
                <w:iCs/>
                <w:color w:val="4F81BD" w:themeColor="accent1"/>
                <w:sz w:val="24"/>
                <w:szCs w:val="24"/>
                <w:u w:val="single"/>
                <w:lang w:val="pt-BR"/>
              </w:rPr>
              <w:t>guardar sigilo sobre qualquer informação que ainda não tenha sido divulgada para conhecimento do mercado</w:t>
            </w:r>
            <w:r w:rsidR="0049243E" w:rsidRPr="0049243E">
              <w:rPr>
                <w:rFonts w:ascii="Arial" w:eastAsia="Times New Roman" w:hAnsi="Arial" w:cs="Arial"/>
                <w:iCs/>
                <w:color w:val="4F81BD" w:themeColor="accent1"/>
                <w:sz w:val="24"/>
                <w:szCs w:val="24"/>
                <w:lang w:val="pt-BR"/>
              </w:rPr>
              <w:t xml:space="preserve">, obtida em razão do cargo e capaz de influir de modo ponderável na cotação de valores mobiliários, sendo-lhe vedado valer-se da informação para obter, para si ou para outrem, vantagem mediante compra ou venda de valores </w:t>
            </w:r>
            <w:r w:rsidRPr="0049243E">
              <w:rPr>
                <w:rFonts w:ascii="Arial" w:eastAsia="Times New Roman" w:hAnsi="Arial" w:cs="Arial"/>
                <w:iCs/>
                <w:color w:val="4F81BD" w:themeColor="accent1"/>
                <w:sz w:val="24"/>
                <w:szCs w:val="24"/>
                <w:lang w:val="pt-BR"/>
              </w:rPr>
              <w:t>mobiliários.</w:t>
            </w:r>
            <w:r>
              <w:rPr>
                <w:rFonts w:ascii="Arial" w:eastAsia="Times New Roman" w:hAnsi="Arial" w:cs="Arial"/>
                <w:iCs/>
                <w:color w:val="4F81BD" w:themeColor="accent1"/>
                <w:sz w:val="24"/>
                <w:szCs w:val="24"/>
                <w:lang w:val="pt-BR"/>
              </w:rPr>
              <w:t xml:space="preserve"> ”</w:t>
            </w:r>
          </w:p>
          <w:p w:rsidR="00E0095A" w:rsidRPr="0049243E" w:rsidRDefault="00E0095A"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pt-BR" w:eastAsia="es-ES"/>
              </w:rPr>
            </w:pPr>
          </w:p>
          <w:p w:rsidR="00160CC7" w:rsidRPr="006306A0" w:rsidRDefault="00036D7B"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6306A0">
              <w:rPr>
                <w:rFonts w:ascii="Arial" w:eastAsia="Times New Roman" w:hAnsi="Arial" w:cs="Arial"/>
                <w:color w:val="4F81BD" w:themeColor="accent1"/>
                <w:sz w:val="24"/>
                <w:szCs w:val="24"/>
                <w:lang w:val="pt-BR" w:eastAsia="es-ES"/>
              </w:rPr>
              <w:t xml:space="preserve">Código Civil, </w:t>
            </w:r>
            <w:proofErr w:type="spellStart"/>
            <w:r w:rsidRPr="006306A0">
              <w:rPr>
                <w:rFonts w:ascii="Arial" w:eastAsia="Times New Roman" w:hAnsi="Arial" w:cs="Arial"/>
                <w:color w:val="4F81BD" w:themeColor="accent1"/>
                <w:sz w:val="24"/>
                <w:szCs w:val="24"/>
                <w:lang w:val="pt-BR" w:eastAsia="es-ES"/>
              </w:rPr>
              <w:t>Ley</w:t>
            </w:r>
            <w:proofErr w:type="spellEnd"/>
            <w:r w:rsidRPr="006306A0">
              <w:rPr>
                <w:rFonts w:ascii="Arial" w:eastAsia="Times New Roman" w:hAnsi="Arial" w:cs="Arial"/>
                <w:color w:val="4F81BD" w:themeColor="accent1"/>
                <w:sz w:val="24"/>
                <w:szCs w:val="24"/>
                <w:lang w:val="pt-BR" w:eastAsia="es-ES"/>
              </w:rPr>
              <w:t xml:space="preserve"> 10.406/02:</w:t>
            </w:r>
          </w:p>
          <w:p w:rsidR="00036D7B" w:rsidRDefault="00036D7B"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pt-BR" w:eastAsia="es-ES"/>
              </w:rPr>
            </w:pPr>
          </w:p>
          <w:p w:rsidR="00036D7B" w:rsidRPr="00036D7B" w:rsidRDefault="00036D7B"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160CC7" w:rsidRPr="00036D7B" w:rsidRDefault="00036D7B"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036D7B">
              <w:rPr>
                <w:rFonts w:ascii="Arial" w:eastAsia="Times New Roman" w:hAnsi="Arial" w:cs="Arial"/>
                <w:color w:val="4F81BD" w:themeColor="accent1"/>
                <w:sz w:val="24"/>
                <w:szCs w:val="24"/>
                <w:lang w:val="pt-BR" w:eastAsia="es-ES"/>
              </w:rPr>
              <w:t xml:space="preserve">“Art. 1.190. Ressalvados os casos previstos em lei, nenhuma autoridade, juiz ou tribunal, sob qualquer pretexto, poderá fazer ou ordenar diligência para verificar se o empresário ou a sociedade empresária observam, ou não, em seus livros e fichas, as formalidades prescritas em </w:t>
            </w:r>
            <w:r w:rsidR="00984E0A" w:rsidRPr="00036D7B">
              <w:rPr>
                <w:rFonts w:ascii="Arial" w:eastAsia="Times New Roman" w:hAnsi="Arial" w:cs="Arial"/>
                <w:color w:val="4F81BD" w:themeColor="accent1"/>
                <w:sz w:val="24"/>
                <w:szCs w:val="24"/>
                <w:lang w:val="pt-BR" w:eastAsia="es-ES"/>
              </w:rPr>
              <w:t>lei. ”</w:t>
            </w:r>
          </w:p>
          <w:p w:rsidR="0045511F" w:rsidRPr="0049243E"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pt-BR" w:eastAsia="es-ES"/>
              </w:rPr>
            </w:pPr>
          </w:p>
          <w:p w:rsidR="009E2A68" w:rsidRDefault="00287734"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 xml:space="preserve"> se contempla la figura de entrega en </w:t>
            </w:r>
            <w:r w:rsidRPr="00287734">
              <w:rPr>
                <w:rFonts w:ascii="Arial" w:eastAsia="Times New Roman" w:hAnsi="Arial" w:cs="Arial"/>
                <w:b/>
                <w:sz w:val="24"/>
                <w:szCs w:val="24"/>
                <w:lang w:val="es-MX" w:eastAsia="es-ES"/>
              </w:rPr>
              <w:t>versión pública</w:t>
            </w:r>
            <w:r>
              <w:rPr>
                <w:rFonts w:ascii="Arial" w:eastAsia="Times New Roman" w:hAnsi="Arial" w:cs="Arial"/>
                <w:sz w:val="24"/>
                <w:szCs w:val="24"/>
                <w:lang w:val="es-MX" w:eastAsia="es-ES"/>
              </w:rPr>
              <w:t xml:space="preserve">, esto es la entrega de </w:t>
            </w:r>
            <w:r w:rsidRPr="00287734">
              <w:rPr>
                <w:rFonts w:ascii="Arial" w:eastAsia="Times New Roman" w:hAnsi="Arial" w:cs="Arial"/>
                <w:sz w:val="24"/>
                <w:szCs w:val="24"/>
                <w:lang w:eastAsia="es-ES"/>
              </w:rPr>
              <w:t>document</w:t>
            </w:r>
            <w:r>
              <w:rPr>
                <w:rFonts w:ascii="Arial" w:eastAsia="Times New Roman" w:hAnsi="Arial" w:cs="Arial"/>
                <w:sz w:val="24"/>
                <w:szCs w:val="24"/>
                <w:lang w:eastAsia="es-ES"/>
              </w:rPr>
              <w:t>os o e</w:t>
            </w:r>
            <w:r w:rsidRPr="00287734">
              <w:rPr>
                <w:rFonts w:ascii="Arial" w:eastAsia="Times New Roman" w:hAnsi="Arial" w:cs="Arial"/>
                <w:sz w:val="24"/>
                <w:szCs w:val="24"/>
                <w:lang w:eastAsia="es-ES"/>
              </w:rPr>
              <w:t>xpediente</w:t>
            </w:r>
            <w:r>
              <w:rPr>
                <w:rFonts w:ascii="Arial" w:eastAsia="Times New Roman" w:hAnsi="Arial" w:cs="Arial"/>
                <w:sz w:val="24"/>
                <w:szCs w:val="24"/>
                <w:lang w:eastAsia="es-ES"/>
              </w:rPr>
              <w:t>s</w:t>
            </w:r>
            <w:r w:rsidRPr="00287734">
              <w:rPr>
                <w:rFonts w:ascii="Arial" w:eastAsia="Times New Roman" w:hAnsi="Arial" w:cs="Arial"/>
                <w:sz w:val="24"/>
                <w:szCs w:val="24"/>
                <w:lang w:eastAsia="es-ES"/>
              </w:rPr>
              <w:t xml:space="preserve"> en el que se da acceso a información eliminando u omitiendo las partes o secciones clasificadas</w:t>
            </w:r>
            <w:r w:rsidR="00150183">
              <w:rPr>
                <w:rFonts w:ascii="Arial" w:eastAsia="Times New Roman" w:hAnsi="Arial" w:cs="Arial"/>
                <w:sz w:val="24"/>
                <w:szCs w:val="24"/>
                <w:lang w:val="es-MX" w:eastAsia="es-ES"/>
              </w:rPr>
              <w:t>?</w:t>
            </w:r>
          </w:p>
          <w:p w:rsidR="0045511F"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45511F" w:rsidRPr="0042736F"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42736F">
              <w:rPr>
                <w:rFonts w:ascii="Arial" w:eastAsia="Times New Roman" w:hAnsi="Arial" w:cs="Arial"/>
                <w:color w:val="4F81BD" w:themeColor="accent1"/>
                <w:sz w:val="24"/>
                <w:szCs w:val="24"/>
                <w:lang w:eastAsia="es-ES"/>
              </w:rPr>
              <w:t>S</w:t>
            </w:r>
            <w:r w:rsidR="0042736F" w:rsidRPr="0042736F">
              <w:rPr>
                <w:rFonts w:ascii="Arial" w:eastAsia="Times New Roman" w:hAnsi="Arial" w:cs="Arial"/>
                <w:color w:val="4F81BD" w:themeColor="accent1"/>
                <w:sz w:val="24"/>
                <w:szCs w:val="24"/>
                <w:lang w:eastAsia="es-ES"/>
              </w:rPr>
              <w:t>i. El</w:t>
            </w:r>
            <w:r w:rsidRPr="0042736F">
              <w:rPr>
                <w:rFonts w:ascii="Arial" w:eastAsia="Times New Roman" w:hAnsi="Arial" w:cs="Arial"/>
                <w:color w:val="4F81BD" w:themeColor="accent1"/>
                <w:sz w:val="24"/>
                <w:szCs w:val="24"/>
                <w:lang w:eastAsia="es-ES"/>
              </w:rPr>
              <w:t xml:space="preserve"> par</w:t>
            </w:r>
            <w:r w:rsidR="0042736F" w:rsidRPr="0042736F">
              <w:rPr>
                <w:rFonts w:ascii="Arial" w:eastAsia="Times New Roman" w:hAnsi="Arial" w:cs="Arial"/>
                <w:color w:val="4F81BD" w:themeColor="accent1"/>
                <w:sz w:val="24"/>
                <w:szCs w:val="24"/>
                <w:lang w:eastAsia="es-ES"/>
              </w:rPr>
              <w:t>ágrafo 2º del</w:t>
            </w:r>
            <w:r w:rsidRPr="0042736F">
              <w:rPr>
                <w:rFonts w:ascii="Arial" w:eastAsia="Times New Roman" w:hAnsi="Arial" w:cs="Arial"/>
                <w:color w:val="4F81BD" w:themeColor="accent1"/>
                <w:sz w:val="24"/>
                <w:szCs w:val="24"/>
                <w:lang w:eastAsia="es-ES"/>
              </w:rPr>
              <w:t xml:space="preserve"> art. </w:t>
            </w:r>
            <w:r w:rsidR="0042736F" w:rsidRPr="0042736F">
              <w:rPr>
                <w:rFonts w:ascii="Arial" w:eastAsia="Times New Roman" w:hAnsi="Arial" w:cs="Arial"/>
                <w:color w:val="4F81BD" w:themeColor="accent1"/>
                <w:sz w:val="24"/>
                <w:szCs w:val="24"/>
                <w:lang w:eastAsia="es-ES"/>
              </w:rPr>
              <w:t>7º de la Ley</w:t>
            </w:r>
            <w:r w:rsidRPr="0042736F">
              <w:rPr>
                <w:rFonts w:ascii="Arial" w:eastAsia="Times New Roman" w:hAnsi="Arial" w:cs="Arial"/>
                <w:color w:val="4F81BD" w:themeColor="accent1"/>
                <w:sz w:val="24"/>
                <w:szCs w:val="24"/>
                <w:lang w:eastAsia="es-ES"/>
              </w:rPr>
              <w:t xml:space="preserve"> nº 12.527/12 </w:t>
            </w:r>
            <w:r w:rsidR="0042736F">
              <w:rPr>
                <w:rFonts w:ascii="Arial" w:eastAsia="Times New Roman" w:hAnsi="Arial" w:cs="Arial"/>
                <w:color w:val="4F81BD" w:themeColor="accent1"/>
                <w:sz w:val="24"/>
                <w:szCs w:val="24"/>
                <w:lang w:eastAsia="es-ES"/>
              </w:rPr>
              <w:t>establece</w:t>
            </w:r>
            <w:r w:rsidRPr="0042736F">
              <w:rPr>
                <w:rFonts w:ascii="Arial" w:eastAsia="Times New Roman" w:hAnsi="Arial" w:cs="Arial"/>
                <w:color w:val="4F81BD" w:themeColor="accent1"/>
                <w:sz w:val="24"/>
                <w:szCs w:val="24"/>
                <w:lang w:eastAsia="es-ES"/>
              </w:rPr>
              <w:t>:</w:t>
            </w:r>
          </w:p>
          <w:p w:rsidR="0045511F" w:rsidRPr="0042736F"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45511F" w:rsidRDefault="0045511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45511F">
              <w:rPr>
                <w:rFonts w:ascii="Arial" w:eastAsia="Times New Roman" w:hAnsi="Arial" w:cs="Arial"/>
                <w:color w:val="4F81BD" w:themeColor="accent1"/>
                <w:sz w:val="24"/>
                <w:szCs w:val="24"/>
                <w:lang w:val="pt-BR" w:eastAsia="es-ES"/>
              </w:rPr>
              <w:t>§ 2</w:t>
            </w:r>
            <w:r w:rsidR="0042736F">
              <w:rPr>
                <w:rFonts w:ascii="Arial" w:eastAsia="Times New Roman" w:hAnsi="Arial" w:cs="Arial"/>
                <w:color w:val="4F81BD" w:themeColor="accent1"/>
                <w:sz w:val="24"/>
                <w:szCs w:val="24"/>
                <w:lang w:val="pt-BR" w:eastAsia="es-ES"/>
              </w:rPr>
              <w:t>º</w:t>
            </w:r>
            <w:r w:rsidR="0042736F" w:rsidRPr="0045511F">
              <w:rPr>
                <w:rFonts w:ascii="Arial" w:eastAsia="Times New Roman" w:hAnsi="Arial" w:cs="Arial"/>
                <w:color w:val="4F81BD" w:themeColor="accent1"/>
                <w:sz w:val="24"/>
                <w:szCs w:val="24"/>
                <w:lang w:val="pt-BR" w:eastAsia="es-ES"/>
              </w:rPr>
              <w:t xml:space="preserve"> Quando</w:t>
            </w:r>
            <w:r w:rsidRPr="0045511F">
              <w:rPr>
                <w:rFonts w:ascii="Arial" w:eastAsia="Times New Roman" w:hAnsi="Arial" w:cs="Arial"/>
                <w:color w:val="4F81BD" w:themeColor="accent1"/>
                <w:sz w:val="24"/>
                <w:szCs w:val="24"/>
                <w:lang w:val="pt-BR" w:eastAsia="es-ES"/>
              </w:rPr>
              <w:t xml:space="preserve"> não for autorizado acesso integral à informação por ser ela parcialmente sigilosa, </w:t>
            </w:r>
            <w:r w:rsidRPr="0042736F">
              <w:rPr>
                <w:rFonts w:ascii="Arial" w:eastAsia="Times New Roman" w:hAnsi="Arial" w:cs="Arial"/>
                <w:color w:val="4F81BD" w:themeColor="accent1"/>
                <w:sz w:val="24"/>
                <w:szCs w:val="24"/>
                <w:u w:val="single"/>
                <w:lang w:val="pt-BR" w:eastAsia="es-ES"/>
              </w:rPr>
              <w:t>é assegurado o acesso à parte não sigilosa por meio de certidão, extrato ou cópia com ocultação da parte sob sigilo</w:t>
            </w:r>
            <w:r w:rsidRPr="0045511F">
              <w:rPr>
                <w:rFonts w:ascii="Arial" w:eastAsia="Times New Roman" w:hAnsi="Arial" w:cs="Arial"/>
                <w:color w:val="4F81BD" w:themeColor="accent1"/>
                <w:sz w:val="24"/>
                <w:szCs w:val="24"/>
                <w:lang w:val="pt-BR" w:eastAsia="es-ES"/>
              </w:rPr>
              <w:t>.</w:t>
            </w:r>
          </w:p>
          <w:p w:rsidR="0042736F" w:rsidRPr="0045511F" w:rsidRDefault="0042736F" w:rsidP="0045511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150183" w:rsidRDefault="00150183"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Actualmente ¿cuál es el proceso que se sigue en su Institución para dar acceso o en su caso, negar el mismo, a información de terceros que incluyan datos relacionados con derechos económicos y comerciales?</w:t>
            </w:r>
          </w:p>
          <w:p w:rsidR="00640EA8" w:rsidRDefault="00640EA8" w:rsidP="00640E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B9000E" w:rsidRDefault="0070398A" w:rsidP="00640E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es-MX" w:eastAsia="es-ES"/>
              </w:rPr>
            </w:pPr>
            <w:r>
              <w:rPr>
                <w:rFonts w:ascii="Arial" w:eastAsia="Times New Roman" w:hAnsi="Arial" w:cs="Arial"/>
                <w:color w:val="4F81BD" w:themeColor="accent1"/>
                <w:sz w:val="24"/>
                <w:szCs w:val="24"/>
                <w:lang w:val="es-MX" w:eastAsia="es-ES"/>
              </w:rPr>
              <w:t>Una vez recibida</w:t>
            </w:r>
            <w:r w:rsidR="00B9000E" w:rsidRPr="00B9000E">
              <w:rPr>
                <w:rFonts w:ascii="Arial" w:eastAsia="Times New Roman" w:hAnsi="Arial" w:cs="Arial"/>
                <w:color w:val="4F81BD" w:themeColor="accent1"/>
                <w:sz w:val="24"/>
                <w:szCs w:val="24"/>
                <w:lang w:val="es-MX" w:eastAsia="es-ES"/>
              </w:rPr>
              <w:t xml:space="preserve"> la solicitación de acceso a información por el Servicio de Información al Ciudadano (SIC), el mismo es reenviado al área detentora de la información. El área deberá confirmar si la información existe e deberá omitir las partes que contengan eventuales informaciones protegidas por algún tipo de sigilo o informaciones de naturaleza personal sensible. </w:t>
            </w:r>
          </w:p>
          <w:p w:rsidR="00BC6AF3" w:rsidRPr="00B9000E" w:rsidRDefault="00BC6AF3" w:rsidP="00640E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es-MX" w:eastAsia="es-ES"/>
              </w:rPr>
            </w:pPr>
          </w:p>
          <w:p w:rsidR="0019455D" w:rsidRPr="00B9000E" w:rsidRDefault="00B9000E" w:rsidP="00640E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es-MX" w:eastAsia="es-ES"/>
              </w:rPr>
            </w:pPr>
            <w:r w:rsidRPr="00B9000E">
              <w:rPr>
                <w:rFonts w:ascii="Arial" w:eastAsia="Times New Roman" w:hAnsi="Arial" w:cs="Arial"/>
                <w:color w:val="4F81BD" w:themeColor="accent1"/>
                <w:sz w:val="24"/>
                <w:szCs w:val="24"/>
                <w:lang w:val="es-MX" w:eastAsia="es-ES"/>
              </w:rPr>
              <w:t xml:space="preserve">La respuesta del área responsable es analizada por una autoridad superior y, posteriormente, por la equipe del Servicio de Información al Ciudadano, que podrá hacer una devolución para ajustes. </w:t>
            </w:r>
          </w:p>
          <w:p w:rsidR="00640EA8" w:rsidRPr="00B9000E" w:rsidRDefault="00640EA8" w:rsidP="00640EA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420E96" w:rsidRDefault="00420E96" w:rsidP="006935C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su </w:t>
            </w:r>
            <w:r w:rsidR="006935C8">
              <w:rPr>
                <w:rFonts w:ascii="Arial" w:eastAsia="Times New Roman" w:hAnsi="Arial" w:cs="Arial"/>
                <w:sz w:val="24"/>
                <w:szCs w:val="24"/>
                <w:lang w:val="es-MX" w:eastAsia="es-ES"/>
              </w:rPr>
              <w:t>legislación</w:t>
            </w:r>
            <w:r>
              <w:rPr>
                <w:rFonts w:ascii="Arial" w:eastAsia="Times New Roman" w:hAnsi="Arial" w:cs="Arial"/>
                <w:sz w:val="24"/>
                <w:szCs w:val="24"/>
                <w:lang w:val="es-MX" w:eastAsia="es-ES"/>
              </w:rPr>
              <w:t xml:space="preserve"> se requiere contar con el consentimiento expreso de los particulares o los terceros para dar acceso a su información?</w:t>
            </w:r>
          </w:p>
          <w:p w:rsidR="008957D2" w:rsidRPr="006306A0" w:rsidRDefault="008957D2"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694D4A" w:rsidRDefault="00694D4A"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694D4A">
              <w:rPr>
                <w:rFonts w:ascii="Arial" w:eastAsia="Times New Roman" w:hAnsi="Arial" w:cs="Arial"/>
                <w:color w:val="4F81BD" w:themeColor="accent1"/>
                <w:sz w:val="24"/>
                <w:szCs w:val="24"/>
                <w:lang w:eastAsia="es-ES"/>
              </w:rPr>
              <w:t xml:space="preserve">La legislación establece el consentimiento expreso solamente </w:t>
            </w:r>
            <w:r w:rsidR="00BC6AF3">
              <w:rPr>
                <w:rFonts w:ascii="Arial" w:eastAsia="Times New Roman" w:hAnsi="Arial" w:cs="Arial"/>
                <w:color w:val="4F81BD" w:themeColor="accent1"/>
                <w:sz w:val="24"/>
                <w:szCs w:val="24"/>
                <w:lang w:eastAsia="es-ES"/>
              </w:rPr>
              <w:t>en</w:t>
            </w:r>
            <w:r w:rsidRPr="00694D4A">
              <w:rPr>
                <w:rFonts w:ascii="Arial" w:eastAsia="Times New Roman" w:hAnsi="Arial" w:cs="Arial"/>
                <w:color w:val="4F81BD" w:themeColor="accent1"/>
                <w:sz w:val="24"/>
                <w:szCs w:val="24"/>
                <w:lang w:eastAsia="es-ES"/>
              </w:rPr>
              <w:t xml:space="preserve"> </w:t>
            </w:r>
            <w:r w:rsidR="00BC6AF3">
              <w:rPr>
                <w:rFonts w:ascii="Arial" w:eastAsia="Times New Roman" w:hAnsi="Arial" w:cs="Arial"/>
                <w:color w:val="4F81BD" w:themeColor="accent1"/>
                <w:sz w:val="24"/>
                <w:szCs w:val="24"/>
                <w:lang w:eastAsia="es-ES"/>
              </w:rPr>
              <w:t xml:space="preserve">la </w:t>
            </w:r>
            <w:r w:rsidRPr="00694D4A">
              <w:rPr>
                <w:rFonts w:ascii="Arial" w:eastAsia="Times New Roman" w:hAnsi="Arial" w:cs="Arial"/>
                <w:color w:val="4F81BD" w:themeColor="accent1"/>
                <w:sz w:val="24"/>
                <w:szCs w:val="24"/>
                <w:lang w:eastAsia="es-ES"/>
              </w:rPr>
              <w:t>situación de divulgaci</w:t>
            </w:r>
            <w:r>
              <w:rPr>
                <w:rFonts w:ascii="Arial" w:eastAsia="Times New Roman" w:hAnsi="Arial" w:cs="Arial"/>
                <w:color w:val="4F81BD" w:themeColor="accent1"/>
                <w:sz w:val="24"/>
                <w:szCs w:val="24"/>
                <w:lang w:eastAsia="es-ES"/>
              </w:rPr>
              <w:t>ón de información personal sensible:</w:t>
            </w:r>
          </w:p>
          <w:p w:rsidR="00694D4A" w:rsidRDefault="00694D4A"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694D4A" w:rsidRPr="006306A0" w:rsidRDefault="00694D4A"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6306A0">
              <w:rPr>
                <w:rFonts w:ascii="Arial" w:eastAsia="Times New Roman" w:hAnsi="Arial" w:cs="Arial"/>
                <w:color w:val="4F81BD" w:themeColor="accent1"/>
                <w:sz w:val="24"/>
                <w:szCs w:val="24"/>
                <w:lang w:val="pt-BR" w:eastAsia="es-ES"/>
              </w:rPr>
              <w:t>Decreto 7.724/12:</w:t>
            </w:r>
          </w:p>
          <w:p w:rsidR="00694D4A" w:rsidRPr="006306A0" w:rsidRDefault="00694D4A"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94D4A" w:rsidRPr="00694D4A" w:rsidRDefault="00694D4A" w:rsidP="00694D4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Pr>
                <w:rFonts w:ascii="Arial" w:eastAsia="Times New Roman" w:hAnsi="Arial" w:cs="Arial"/>
                <w:color w:val="4F81BD" w:themeColor="accent1"/>
                <w:sz w:val="24"/>
                <w:szCs w:val="24"/>
                <w:lang w:val="pt-BR" w:eastAsia="es-ES"/>
              </w:rPr>
              <w:t>“</w:t>
            </w:r>
            <w:r w:rsidRPr="00694D4A">
              <w:rPr>
                <w:rFonts w:ascii="Arial" w:eastAsia="Times New Roman" w:hAnsi="Arial" w:cs="Arial"/>
                <w:color w:val="4F81BD" w:themeColor="accent1"/>
                <w:sz w:val="24"/>
                <w:szCs w:val="24"/>
                <w:lang w:val="pt-BR" w:eastAsia="es-ES"/>
              </w:rPr>
              <w:t>Art. 55.  As informações pessoais relativas à intimidade, vida privada, honra e imagem detidas pelos órgãos e entidades:</w:t>
            </w:r>
          </w:p>
          <w:p w:rsidR="00694D4A" w:rsidRPr="00694D4A" w:rsidRDefault="00694D4A" w:rsidP="00694D4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94D4A" w:rsidRPr="00694D4A" w:rsidRDefault="00694D4A" w:rsidP="00694D4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694D4A">
              <w:rPr>
                <w:rFonts w:ascii="Arial" w:eastAsia="Times New Roman" w:hAnsi="Arial" w:cs="Arial"/>
                <w:color w:val="4F81BD" w:themeColor="accent1"/>
                <w:sz w:val="24"/>
                <w:szCs w:val="24"/>
                <w:lang w:val="pt-BR" w:eastAsia="es-ES"/>
              </w:rPr>
              <w:lastRenderedPageBreak/>
              <w:t xml:space="preserve">I - </w:t>
            </w:r>
            <w:proofErr w:type="gramStart"/>
            <w:r w:rsidRPr="00694D4A">
              <w:rPr>
                <w:rFonts w:ascii="Arial" w:eastAsia="Times New Roman" w:hAnsi="Arial" w:cs="Arial"/>
                <w:color w:val="4F81BD" w:themeColor="accent1"/>
                <w:sz w:val="24"/>
                <w:szCs w:val="24"/>
                <w:lang w:val="pt-BR" w:eastAsia="es-ES"/>
              </w:rPr>
              <w:t>terão</w:t>
            </w:r>
            <w:proofErr w:type="gramEnd"/>
            <w:r w:rsidRPr="00694D4A">
              <w:rPr>
                <w:rFonts w:ascii="Arial" w:eastAsia="Times New Roman" w:hAnsi="Arial" w:cs="Arial"/>
                <w:color w:val="4F81BD" w:themeColor="accent1"/>
                <w:sz w:val="24"/>
                <w:szCs w:val="24"/>
                <w:lang w:val="pt-BR" w:eastAsia="es-ES"/>
              </w:rPr>
              <w:t xml:space="preserve"> acesso restrito a agentes públicos legalmente autorizados e a pessoa a que se referirem, independentemente de classificação de sigilo, pelo prazo máximo de cem anos a contar da data de sua produção; e</w:t>
            </w:r>
          </w:p>
          <w:p w:rsidR="00694D4A" w:rsidRPr="00694D4A" w:rsidRDefault="00694D4A" w:rsidP="00694D4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94D4A" w:rsidRPr="00694D4A" w:rsidRDefault="00694D4A" w:rsidP="00694D4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r w:rsidRPr="00694D4A">
              <w:rPr>
                <w:rFonts w:ascii="Arial" w:eastAsia="Times New Roman" w:hAnsi="Arial" w:cs="Arial"/>
                <w:color w:val="4F81BD" w:themeColor="accent1"/>
                <w:sz w:val="24"/>
                <w:szCs w:val="24"/>
                <w:lang w:val="pt-BR" w:eastAsia="es-ES"/>
              </w:rPr>
              <w:t xml:space="preserve">II - </w:t>
            </w:r>
            <w:proofErr w:type="gramStart"/>
            <w:r w:rsidRPr="00694D4A">
              <w:rPr>
                <w:rFonts w:ascii="Arial" w:eastAsia="Times New Roman" w:hAnsi="Arial" w:cs="Arial"/>
                <w:color w:val="4F81BD" w:themeColor="accent1"/>
                <w:sz w:val="24"/>
                <w:szCs w:val="24"/>
                <w:u w:val="single"/>
                <w:lang w:val="pt-BR" w:eastAsia="es-ES"/>
              </w:rPr>
              <w:t>poderão</w:t>
            </w:r>
            <w:proofErr w:type="gramEnd"/>
            <w:r w:rsidRPr="00694D4A">
              <w:rPr>
                <w:rFonts w:ascii="Arial" w:eastAsia="Times New Roman" w:hAnsi="Arial" w:cs="Arial"/>
                <w:color w:val="4F81BD" w:themeColor="accent1"/>
                <w:sz w:val="24"/>
                <w:szCs w:val="24"/>
                <w:u w:val="single"/>
                <w:lang w:val="pt-BR" w:eastAsia="es-ES"/>
              </w:rPr>
              <w:t xml:space="preserve"> ter sua divulgação ou acesso por terceiros autorizados por previsão legal ou consentimento expresso da pessoa a que se referirem. ”</w:t>
            </w:r>
          </w:p>
          <w:p w:rsidR="00694D4A" w:rsidRPr="00694D4A" w:rsidRDefault="00694D4A"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val="pt-BR" w:eastAsia="es-ES"/>
              </w:rPr>
            </w:pPr>
          </w:p>
          <w:p w:rsidR="00670107" w:rsidRPr="00670107" w:rsidRDefault="00670107"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670107">
              <w:rPr>
                <w:rFonts w:ascii="Arial" w:eastAsia="Times New Roman" w:hAnsi="Arial" w:cs="Arial"/>
                <w:color w:val="4F81BD" w:themeColor="accent1"/>
                <w:sz w:val="24"/>
                <w:szCs w:val="24"/>
                <w:lang w:eastAsia="es-ES"/>
              </w:rPr>
              <w:t xml:space="preserve">No obstante, no existe impedimento para que terceros sean consultados en otras situaciones, </w:t>
            </w:r>
            <w:r>
              <w:rPr>
                <w:rFonts w:ascii="Arial" w:eastAsia="Times New Roman" w:hAnsi="Arial" w:cs="Arial"/>
                <w:color w:val="4F81BD" w:themeColor="accent1"/>
                <w:sz w:val="24"/>
                <w:szCs w:val="24"/>
                <w:lang w:eastAsia="es-ES"/>
              </w:rPr>
              <w:t xml:space="preserve">aún que no sea una práctica común. </w:t>
            </w:r>
          </w:p>
          <w:p w:rsidR="008957D2" w:rsidRPr="006306A0" w:rsidRDefault="008957D2"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8957D2" w:rsidRPr="006306A0" w:rsidRDefault="008957D2" w:rsidP="008957D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231614" w:rsidRDefault="00231614" w:rsidP="00231614">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¿Considera que la prueba de daño es una herramienta adecuada para discernir entre la divulgación o la clasificación de la información de terceros?</w:t>
            </w:r>
          </w:p>
          <w:p w:rsidR="00C87ACB" w:rsidRDefault="00C87ACB" w:rsidP="00C87AC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B67F3" w:rsidRDefault="00A96394" w:rsidP="006B6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sidRPr="00C7591F">
              <w:rPr>
                <w:rFonts w:ascii="Arial" w:eastAsia="Times New Roman" w:hAnsi="Arial" w:cs="Arial"/>
                <w:color w:val="4F81BD" w:themeColor="accent1"/>
                <w:sz w:val="24"/>
                <w:szCs w:val="24"/>
                <w:lang w:eastAsia="es-ES"/>
              </w:rPr>
              <w:t xml:space="preserve">Si. En Brasil, </w:t>
            </w:r>
            <w:r w:rsidR="00C7591F" w:rsidRPr="00C7591F">
              <w:rPr>
                <w:rFonts w:ascii="Arial" w:eastAsia="Times New Roman" w:hAnsi="Arial" w:cs="Arial"/>
                <w:color w:val="4F81BD" w:themeColor="accent1"/>
                <w:sz w:val="24"/>
                <w:szCs w:val="24"/>
                <w:lang w:eastAsia="es-ES"/>
              </w:rPr>
              <w:t>cuando una empresa estatal que actúa en</w:t>
            </w:r>
            <w:r w:rsidR="00C7591F">
              <w:rPr>
                <w:rFonts w:ascii="Arial" w:eastAsia="Times New Roman" w:hAnsi="Arial" w:cs="Arial"/>
                <w:color w:val="4F81BD" w:themeColor="accent1"/>
                <w:sz w:val="24"/>
                <w:szCs w:val="24"/>
                <w:lang w:eastAsia="es-ES"/>
              </w:rPr>
              <w:t xml:space="preserve"> régimen de concurrencia</w:t>
            </w:r>
            <w:r w:rsidR="00C7591F" w:rsidRPr="00C7591F">
              <w:rPr>
                <w:rFonts w:ascii="Arial" w:eastAsia="Times New Roman" w:hAnsi="Arial" w:cs="Arial"/>
                <w:color w:val="4F81BD" w:themeColor="accent1"/>
                <w:sz w:val="24"/>
                <w:szCs w:val="24"/>
                <w:lang w:eastAsia="es-ES"/>
              </w:rPr>
              <w:t xml:space="preserve"> debe </w:t>
            </w:r>
            <w:r w:rsidR="00C7591F">
              <w:rPr>
                <w:rFonts w:ascii="Arial" w:eastAsia="Times New Roman" w:hAnsi="Arial" w:cs="Arial"/>
                <w:color w:val="4F81BD" w:themeColor="accent1"/>
                <w:sz w:val="24"/>
                <w:szCs w:val="24"/>
                <w:lang w:eastAsia="es-ES"/>
              </w:rPr>
              <w:t>com</w:t>
            </w:r>
            <w:r w:rsidR="00C7591F" w:rsidRPr="00C7591F">
              <w:rPr>
                <w:rFonts w:ascii="Arial" w:eastAsia="Times New Roman" w:hAnsi="Arial" w:cs="Arial"/>
                <w:color w:val="4F81BD" w:themeColor="accent1"/>
                <w:sz w:val="24"/>
                <w:szCs w:val="24"/>
                <w:lang w:eastAsia="es-ES"/>
              </w:rPr>
              <w:t xml:space="preserve">probar el nexo </w:t>
            </w:r>
            <w:r w:rsidR="00C7591F">
              <w:rPr>
                <w:rFonts w:ascii="Arial" w:eastAsia="Times New Roman" w:hAnsi="Arial" w:cs="Arial"/>
                <w:color w:val="4F81BD" w:themeColor="accent1"/>
                <w:sz w:val="24"/>
                <w:szCs w:val="24"/>
                <w:lang w:eastAsia="es-ES"/>
              </w:rPr>
              <w:t>que existe entre la divulgación de una información y el perjuicio para la empresa.</w:t>
            </w:r>
          </w:p>
          <w:p w:rsidR="00C7591F" w:rsidRDefault="00C7591F" w:rsidP="006B6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C7591F" w:rsidRDefault="00C7591F" w:rsidP="006B6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C7591F" w:rsidRPr="00C7591F" w:rsidRDefault="00C7591F" w:rsidP="006B67F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tc>
      </w:tr>
      <w:tr w:rsidR="009E2A68" w:rsidRPr="00582A6F" w:rsidTr="008B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Borders>
              <w:top w:val="none" w:sz="0" w:space="0" w:color="auto"/>
              <w:left w:val="none" w:sz="0" w:space="0" w:color="auto"/>
              <w:bottom w:val="none" w:sz="0" w:space="0" w:color="auto"/>
            </w:tcBorders>
            <w:vAlign w:val="center"/>
          </w:tcPr>
          <w:p w:rsidR="009E2A68" w:rsidRPr="006306A0" w:rsidRDefault="009E2A68" w:rsidP="009E2A68">
            <w:pPr>
              <w:spacing w:line="276" w:lineRule="auto"/>
              <w:jc w:val="center"/>
              <w:rPr>
                <w:rFonts w:ascii="Arial" w:eastAsia="Calibri" w:hAnsi="Arial" w:cs="Arial"/>
                <w:b w:val="0"/>
                <w:smallCaps/>
                <w:sz w:val="24"/>
                <w:szCs w:val="24"/>
              </w:rPr>
            </w:pPr>
            <w:r w:rsidRPr="006306A0">
              <w:rPr>
                <w:rFonts w:ascii="Arial" w:eastAsia="Calibri" w:hAnsi="Arial" w:cs="Arial"/>
                <w:smallCaps/>
                <w:sz w:val="24"/>
                <w:szCs w:val="24"/>
              </w:rPr>
              <w:lastRenderedPageBreak/>
              <w:t xml:space="preserve">Consideraciones Generales </w:t>
            </w:r>
            <w:r w:rsidRPr="006306A0">
              <w:rPr>
                <w:rFonts w:ascii="Arial" w:eastAsia="Calibri" w:hAnsi="Arial" w:cs="Arial"/>
                <w:smallCaps/>
                <w:szCs w:val="24"/>
              </w:rPr>
              <w:t>(Relevancia del tema)</w:t>
            </w:r>
          </w:p>
        </w:tc>
        <w:tc>
          <w:tcPr>
            <w:tcW w:w="4279" w:type="pct"/>
            <w:tcBorders>
              <w:top w:val="none" w:sz="0" w:space="0" w:color="auto"/>
              <w:bottom w:val="none" w:sz="0" w:space="0" w:color="auto"/>
              <w:right w:val="none" w:sz="0" w:space="0" w:color="auto"/>
            </w:tcBorders>
            <w:vAlign w:val="center"/>
          </w:tcPr>
          <w:p w:rsidR="009D4DDB" w:rsidRDefault="009D4DDB"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9D4DDB" w:rsidRDefault="009D4DDB"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C36733" w:rsidRPr="009D4DDB" w:rsidRDefault="00C36733"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r w:rsidRPr="009D4DDB">
              <w:rPr>
                <w:rFonts w:ascii="Arial" w:eastAsia="Times New Roman" w:hAnsi="Arial" w:cs="Arial"/>
                <w:iCs/>
                <w:color w:val="4F81BD" w:themeColor="accent1"/>
                <w:sz w:val="24"/>
                <w:szCs w:val="24"/>
              </w:rPr>
              <w:t xml:space="preserve">El Derecho de </w:t>
            </w:r>
            <w:proofErr w:type="spellStart"/>
            <w:r w:rsidRPr="009D4DDB">
              <w:rPr>
                <w:rFonts w:ascii="Arial" w:eastAsia="Times New Roman" w:hAnsi="Arial" w:cs="Arial"/>
                <w:iCs/>
                <w:color w:val="4F81BD" w:themeColor="accent1"/>
                <w:sz w:val="24"/>
                <w:szCs w:val="24"/>
              </w:rPr>
              <w:t>Acesso</w:t>
            </w:r>
            <w:proofErr w:type="spellEnd"/>
            <w:r w:rsidRPr="009D4DDB">
              <w:rPr>
                <w:rFonts w:ascii="Arial" w:eastAsia="Times New Roman" w:hAnsi="Arial" w:cs="Arial"/>
                <w:iCs/>
                <w:color w:val="4F81BD" w:themeColor="accent1"/>
                <w:sz w:val="24"/>
                <w:szCs w:val="24"/>
              </w:rPr>
              <w:t xml:space="preserve"> a Información es fundamental para garantizar la transparencia de </w:t>
            </w:r>
            <w:r w:rsidR="0086789A">
              <w:rPr>
                <w:rFonts w:ascii="Arial" w:eastAsia="Times New Roman" w:hAnsi="Arial" w:cs="Arial"/>
                <w:iCs/>
                <w:color w:val="4F81BD" w:themeColor="accent1"/>
                <w:sz w:val="24"/>
                <w:szCs w:val="24"/>
              </w:rPr>
              <w:t>l</w:t>
            </w:r>
            <w:r w:rsidRPr="009D4DDB">
              <w:rPr>
                <w:rFonts w:ascii="Arial" w:eastAsia="Times New Roman" w:hAnsi="Arial" w:cs="Arial"/>
                <w:iCs/>
                <w:color w:val="4F81BD" w:themeColor="accent1"/>
                <w:sz w:val="24"/>
                <w:szCs w:val="24"/>
              </w:rPr>
              <w:t>as acciones del Estado, constituyéndose en una herramienta efectiva de control social.</w:t>
            </w:r>
          </w:p>
          <w:p w:rsidR="00C36733" w:rsidRPr="009D4DDB" w:rsidRDefault="00C36733"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p>
          <w:p w:rsidR="00C36733" w:rsidRPr="009D4DDB" w:rsidRDefault="00C36733"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r w:rsidRPr="009D4DDB">
              <w:rPr>
                <w:rFonts w:ascii="Arial" w:eastAsia="Times New Roman" w:hAnsi="Arial" w:cs="Arial"/>
                <w:iCs/>
                <w:color w:val="4F81BD" w:themeColor="accent1"/>
                <w:sz w:val="24"/>
                <w:szCs w:val="24"/>
              </w:rPr>
              <w:t xml:space="preserve">No obstante, no son todas las informaciones en poder de los órganos y entidades del Estado que poden ser divulgadas, una vez que la exposición indebida de determinadas informaciones puede colidir con derechos de terceros.  </w:t>
            </w:r>
          </w:p>
          <w:p w:rsidR="00C36733" w:rsidRPr="009D4DDB" w:rsidRDefault="00C36733"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p>
          <w:p w:rsidR="00C36733" w:rsidRPr="009D4DDB" w:rsidRDefault="00C36733"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r w:rsidRPr="009D4DDB">
              <w:rPr>
                <w:rFonts w:ascii="Arial" w:eastAsia="Times New Roman" w:hAnsi="Arial" w:cs="Arial"/>
                <w:iCs/>
                <w:color w:val="4F81BD" w:themeColor="accent1"/>
                <w:sz w:val="24"/>
                <w:szCs w:val="24"/>
              </w:rPr>
              <w:t xml:space="preserve">Ejemplos de eso son las informaciones personales sensibles, informaciones protegidas por sigilo bancario, fiscal, empresarial entre otros. Son informaciones que el Estado dispone en resultado de su carácter fiscalizador y regulador, y que deben </w:t>
            </w:r>
            <w:r w:rsidR="009D4DDB" w:rsidRPr="009D4DDB">
              <w:rPr>
                <w:rFonts w:ascii="Arial" w:eastAsia="Times New Roman" w:hAnsi="Arial" w:cs="Arial"/>
                <w:iCs/>
                <w:color w:val="4F81BD" w:themeColor="accent1"/>
                <w:sz w:val="24"/>
                <w:szCs w:val="24"/>
              </w:rPr>
              <w:t xml:space="preserve">ser de acceso restricto, </w:t>
            </w:r>
            <w:r w:rsidR="00582A6F">
              <w:rPr>
                <w:rFonts w:ascii="Arial" w:eastAsia="Times New Roman" w:hAnsi="Arial" w:cs="Arial"/>
                <w:iCs/>
                <w:color w:val="4F81BD" w:themeColor="accent1"/>
                <w:sz w:val="24"/>
                <w:szCs w:val="24"/>
              </w:rPr>
              <w:t xml:space="preserve">evitándose, de ese modo, </w:t>
            </w:r>
            <w:r w:rsidR="009D4DDB" w:rsidRPr="009D4DDB">
              <w:rPr>
                <w:rFonts w:ascii="Arial" w:eastAsia="Times New Roman" w:hAnsi="Arial" w:cs="Arial"/>
                <w:iCs/>
                <w:color w:val="4F81BD" w:themeColor="accent1"/>
                <w:sz w:val="24"/>
                <w:szCs w:val="24"/>
              </w:rPr>
              <w:t xml:space="preserve">causar grandes danos a las personas a que se refieren. </w:t>
            </w:r>
          </w:p>
          <w:p w:rsidR="009D4DDB" w:rsidRPr="00C36733" w:rsidRDefault="009D4DDB"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021FEF" w:rsidRPr="00582A6F" w:rsidRDefault="00021FEF"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p>
          <w:p w:rsidR="009E2A68" w:rsidRPr="00582A6F" w:rsidRDefault="00D4779B" w:rsidP="00021FE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r w:rsidRPr="00582A6F">
              <w:rPr>
                <w:rFonts w:ascii="Arial" w:eastAsia="Times New Roman" w:hAnsi="Arial" w:cs="Arial"/>
                <w:iCs/>
                <w:color w:val="4F81BD" w:themeColor="accent1"/>
                <w:sz w:val="24"/>
                <w:szCs w:val="24"/>
              </w:rPr>
              <w:t xml:space="preserve"> </w:t>
            </w:r>
          </w:p>
        </w:tc>
      </w:tr>
      <w:tr w:rsidR="009E2A68" w:rsidRPr="00550E79" w:rsidTr="008B047D">
        <w:tc>
          <w:tcPr>
            <w:cnfStyle w:val="001000000000" w:firstRow="0" w:lastRow="0" w:firstColumn="1" w:lastColumn="0" w:oddVBand="0" w:evenVBand="0" w:oddHBand="0" w:evenHBand="0" w:firstRowFirstColumn="0" w:firstRowLastColumn="0" w:lastRowFirstColumn="0" w:lastRowLastColumn="0"/>
            <w:tcW w:w="721" w:type="pct"/>
            <w:vAlign w:val="center"/>
          </w:tcPr>
          <w:p w:rsidR="009E2A68" w:rsidRPr="006306A0" w:rsidRDefault="009E2A68" w:rsidP="009E2A68">
            <w:pPr>
              <w:spacing w:line="276" w:lineRule="auto"/>
              <w:jc w:val="center"/>
              <w:rPr>
                <w:rFonts w:ascii="Arial" w:eastAsia="Calibri" w:hAnsi="Arial" w:cs="Arial"/>
                <w:b w:val="0"/>
                <w:smallCaps/>
                <w:sz w:val="24"/>
                <w:szCs w:val="24"/>
              </w:rPr>
            </w:pPr>
            <w:r w:rsidRPr="006306A0">
              <w:rPr>
                <w:rFonts w:ascii="Arial" w:eastAsia="Calibri" w:hAnsi="Arial" w:cs="Arial"/>
                <w:smallCaps/>
                <w:sz w:val="24"/>
                <w:szCs w:val="24"/>
              </w:rPr>
              <w:lastRenderedPageBreak/>
              <w:t xml:space="preserve">Consideraciones </w:t>
            </w:r>
          </w:p>
          <w:p w:rsidR="009E2A68" w:rsidRPr="006306A0" w:rsidRDefault="009E2A68" w:rsidP="009E2A68">
            <w:pPr>
              <w:spacing w:line="276" w:lineRule="auto"/>
              <w:jc w:val="center"/>
              <w:rPr>
                <w:rFonts w:ascii="Arial" w:eastAsia="Calibri" w:hAnsi="Arial" w:cs="Arial"/>
                <w:b w:val="0"/>
                <w:smallCaps/>
                <w:sz w:val="24"/>
                <w:szCs w:val="24"/>
              </w:rPr>
            </w:pPr>
            <w:r w:rsidRPr="006306A0">
              <w:rPr>
                <w:rFonts w:ascii="Arial" w:eastAsia="Calibri" w:hAnsi="Arial" w:cs="Arial"/>
                <w:smallCaps/>
                <w:szCs w:val="24"/>
              </w:rPr>
              <w:t>(Posición sobre el tema)</w:t>
            </w:r>
          </w:p>
        </w:tc>
        <w:tc>
          <w:tcPr>
            <w:tcW w:w="4279" w:type="pct"/>
            <w:vAlign w:val="center"/>
          </w:tcPr>
          <w:p w:rsidR="002F0224" w:rsidRPr="006306A0" w:rsidRDefault="002F0224"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2F0224" w:rsidRPr="006306A0" w:rsidRDefault="002F0224"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2F0224" w:rsidRDefault="00834F03"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r w:rsidRPr="00834F03">
              <w:rPr>
                <w:rFonts w:ascii="Arial" w:eastAsia="Times New Roman" w:hAnsi="Arial" w:cs="Arial"/>
                <w:iCs/>
                <w:color w:val="4F81BD" w:themeColor="accent1"/>
                <w:sz w:val="24"/>
                <w:szCs w:val="24"/>
              </w:rPr>
              <w:t xml:space="preserve">La protección de informaciones de naturaleza empresarial se puede dividir </w:t>
            </w:r>
            <w:r>
              <w:rPr>
                <w:rFonts w:ascii="Arial" w:eastAsia="Times New Roman" w:hAnsi="Arial" w:cs="Arial"/>
                <w:iCs/>
                <w:color w:val="4F81BD" w:themeColor="accent1"/>
                <w:sz w:val="24"/>
                <w:szCs w:val="24"/>
              </w:rPr>
              <w:t>en</w:t>
            </w:r>
            <w:r w:rsidRPr="00834F03">
              <w:rPr>
                <w:rFonts w:ascii="Arial" w:eastAsia="Times New Roman" w:hAnsi="Arial" w:cs="Arial"/>
                <w:iCs/>
                <w:color w:val="4F81BD" w:themeColor="accent1"/>
                <w:sz w:val="24"/>
                <w:szCs w:val="24"/>
              </w:rPr>
              <w:t xml:space="preserve"> tr</w:t>
            </w:r>
            <w:r>
              <w:rPr>
                <w:rFonts w:ascii="Arial" w:eastAsia="Times New Roman" w:hAnsi="Arial" w:cs="Arial"/>
                <w:iCs/>
                <w:color w:val="4F81BD" w:themeColor="accent1"/>
                <w:sz w:val="24"/>
                <w:szCs w:val="24"/>
              </w:rPr>
              <w:t xml:space="preserve">es </w:t>
            </w:r>
            <w:r w:rsidR="003A0820">
              <w:rPr>
                <w:rFonts w:ascii="Arial" w:eastAsia="Times New Roman" w:hAnsi="Arial" w:cs="Arial"/>
                <w:iCs/>
                <w:color w:val="4F81BD" w:themeColor="accent1"/>
                <w:sz w:val="24"/>
                <w:szCs w:val="24"/>
              </w:rPr>
              <w:t>vertientes:</w:t>
            </w:r>
          </w:p>
          <w:p w:rsidR="003A0820" w:rsidRDefault="003A0820"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3A0820" w:rsidRDefault="00C466E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r>
              <w:rPr>
                <w:rFonts w:ascii="Arial" w:eastAsia="Times New Roman" w:hAnsi="Arial" w:cs="Arial"/>
                <w:iCs/>
                <w:color w:val="4F81BD" w:themeColor="accent1"/>
                <w:sz w:val="24"/>
                <w:szCs w:val="24"/>
              </w:rPr>
              <w:t>Art. 5º del Decreto nº 7.724/12:</w:t>
            </w:r>
            <w:r w:rsidR="00D56C84">
              <w:rPr>
                <w:rFonts w:ascii="Arial" w:eastAsia="Times New Roman" w:hAnsi="Arial" w:cs="Arial"/>
                <w:iCs/>
                <w:color w:val="4F81BD" w:themeColor="accent1"/>
                <w:sz w:val="24"/>
                <w:szCs w:val="24"/>
              </w:rPr>
              <w:t xml:space="preserve"> el artículo es dividido en dos</w:t>
            </w:r>
            <w:r w:rsidR="00C6174A">
              <w:rPr>
                <w:rFonts w:ascii="Arial" w:eastAsia="Times New Roman" w:hAnsi="Arial" w:cs="Arial"/>
                <w:iCs/>
                <w:color w:val="4F81BD" w:themeColor="accent1"/>
                <w:sz w:val="24"/>
                <w:szCs w:val="24"/>
              </w:rPr>
              <w:t xml:space="preserve"> parágrafos. El primer busca proteger las informaciones económicas y comerciales de las empresas estatales que actúen en régimen de concurrencia</w:t>
            </w:r>
            <w:r w:rsidR="00052800">
              <w:rPr>
                <w:rFonts w:ascii="Arial" w:eastAsia="Times New Roman" w:hAnsi="Arial" w:cs="Arial"/>
                <w:iCs/>
                <w:color w:val="4F81BD" w:themeColor="accent1"/>
                <w:sz w:val="24"/>
                <w:szCs w:val="24"/>
              </w:rPr>
              <w:t>. Para que se acepte una negativa de acceso a información, es necesario que se compruebe el nexo de causalidad entre la divulgación de la información y el daño para los intereses de la empresa.</w:t>
            </w:r>
          </w:p>
          <w:p w:rsidR="00147A97" w:rsidRDefault="00147A97"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147A97" w:rsidRDefault="00147A97"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r>
              <w:rPr>
                <w:rFonts w:ascii="Arial" w:eastAsia="Times New Roman" w:hAnsi="Arial" w:cs="Arial"/>
                <w:iCs/>
                <w:color w:val="4F81BD" w:themeColor="accent1"/>
                <w:sz w:val="24"/>
                <w:szCs w:val="24"/>
              </w:rPr>
              <w:t>El segundo parágrafo del artículo 5º establece que no se sujetan al Decreto las informaciones relativas a actividad empresarial de personas físicas o jurídicas de derecho privado cuya divulgación pueda representar ventaja competit</w:t>
            </w:r>
            <w:r w:rsidR="00B0170B">
              <w:rPr>
                <w:rFonts w:ascii="Arial" w:eastAsia="Times New Roman" w:hAnsi="Arial" w:cs="Arial"/>
                <w:iCs/>
                <w:color w:val="4F81BD" w:themeColor="accent1"/>
                <w:sz w:val="24"/>
                <w:szCs w:val="24"/>
              </w:rPr>
              <w:t>iva a otros agentes económicos.</w:t>
            </w:r>
          </w:p>
          <w:p w:rsidR="00C466E1" w:rsidRDefault="00C466E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8E5B1D" w:rsidRPr="00B93E6D" w:rsidRDefault="00B93E6D"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r>
              <w:rPr>
                <w:rFonts w:ascii="Arial" w:eastAsia="Times New Roman" w:hAnsi="Arial" w:cs="Arial"/>
                <w:iCs/>
                <w:color w:val="4F81BD" w:themeColor="accent1"/>
                <w:sz w:val="24"/>
                <w:szCs w:val="24"/>
              </w:rPr>
              <w:t xml:space="preserve">En ese sentido, la regla a ser observada cuando se tratar de información de carácter económico o comercial, es la restricción de acceso, desde que comprobado el daño. </w:t>
            </w:r>
          </w:p>
          <w:p w:rsidR="008E5B1D" w:rsidRPr="00B93E6D" w:rsidRDefault="008E5B1D"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B93E6D" w:rsidRDefault="00B93E6D" w:rsidP="008E5B1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r w:rsidRPr="00B93E6D">
              <w:rPr>
                <w:rFonts w:ascii="Arial" w:eastAsia="Times New Roman" w:hAnsi="Arial" w:cs="Arial"/>
                <w:iCs/>
                <w:color w:val="4F81BD" w:themeColor="accent1"/>
                <w:sz w:val="24"/>
                <w:szCs w:val="24"/>
              </w:rPr>
              <w:t>La segunda vertiente es la protecci</w:t>
            </w:r>
            <w:r>
              <w:rPr>
                <w:rFonts w:ascii="Arial" w:eastAsia="Times New Roman" w:hAnsi="Arial" w:cs="Arial"/>
                <w:iCs/>
                <w:color w:val="4F81BD" w:themeColor="accent1"/>
                <w:sz w:val="24"/>
                <w:szCs w:val="24"/>
              </w:rPr>
              <w:t>ón establecida en la Ley de Sociedades Anónimas, Ley nº 6.404/76, art. 155:</w:t>
            </w:r>
          </w:p>
          <w:p w:rsidR="00BF4D03" w:rsidRPr="00B93E6D" w:rsidRDefault="00BF4D03" w:rsidP="00B93E6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0636ED" w:rsidRPr="000636ED" w:rsidRDefault="00E70073" w:rsidP="000636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lang w:val="pt-BR"/>
              </w:rPr>
            </w:pPr>
            <w:r w:rsidRPr="00E70073">
              <w:rPr>
                <w:rFonts w:ascii="Arial" w:eastAsia="Times New Roman" w:hAnsi="Arial" w:cs="Arial"/>
                <w:iCs/>
                <w:color w:val="4F81BD" w:themeColor="accent1"/>
                <w:sz w:val="24"/>
                <w:szCs w:val="24"/>
                <w:lang w:val="pt-BR"/>
              </w:rPr>
              <w:t>“</w:t>
            </w:r>
            <w:r w:rsidR="000636ED" w:rsidRPr="000636ED">
              <w:rPr>
                <w:rFonts w:ascii="Arial" w:eastAsia="Times New Roman" w:hAnsi="Arial" w:cs="Arial"/>
                <w:iCs/>
                <w:color w:val="4F81BD" w:themeColor="accent1"/>
                <w:sz w:val="24"/>
                <w:szCs w:val="24"/>
                <w:lang w:val="pt-BR"/>
              </w:rPr>
              <w:t xml:space="preserve">§ 1º Cumpre, ademais, ao administrador de companhia aberta, guardar sigilo sobre qualquer informação que ainda não tenha sido divulgada para conhecimento do mercado, obtida em razão do cargo e capaz de influir de modo ponderável na cotação de valores mobiliários, sendo-lhe vedado valer-se da informação para obter, para si ou para outrem, vantagem mediante compra ou venda de valores </w:t>
            </w:r>
            <w:r w:rsidRPr="000636ED">
              <w:rPr>
                <w:rFonts w:ascii="Arial" w:eastAsia="Times New Roman" w:hAnsi="Arial" w:cs="Arial"/>
                <w:iCs/>
                <w:color w:val="4F81BD" w:themeColor="accent1"/>
                <w:sz w:val="24"/>
                <w:szCs w:val="24"/>
                <w:lang w:val="pt-BR"/>
              </w:rPr>
              <w:t>mobiliários.</w:t>
            </w:r>
            <w:r>
              <w:rPr>
                <w:rFonts w:ascii="Arial" w:eastAsia="Times New Roman" w:hAnsi="Arial" w:cs="Arial"/>
                <w:iCs/>
                <w:color w:val="4F81BD" w:themeColor="accent1"/>
                <w:sz w:val="24"/>
                <w:szCs w:val="24"/>
                <w:lang w:val="pt-BR"/>
              </w:rPr>
              <w:t xml:space="preserve"> ”</w:t>
            </w:r>
          </w:p>
          <w:p w:rsidR="000636ED" w:rsidRDefault="000636ED" w:rsidP="000636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lang w:val="pt-BR"/>
              </w:rPr>
            </w:pPr>
          </w:p>
          <w:p w:rsidR="00B93E6D" w:rsidRDefault="00B93E6D" w:rsidP="000636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r w:rsidRPr="00B93E6D">
              <w:rPr>
                <w:rFonts w:ascii="Arial" w:eastAsia="Times New Roman" w:hAnsi="Arial" w:cs="Arial"/>
                <w:iCs/>
                <w:color w:val="4F81BD" w:themeColor="accent1"/>
                <w:sz w:val="24"/>
                <w:szCs w:val="24"/>
              </w:rPr>
              <w:t>La tercera vertiente se encuentra establecida e</w:t>
            </w:r>
            <w:r>
              <w:rPr>
                <w:rFonts w:ascii="Arial" w:eastAsia="Times New Roman" w:hAnsi="Arial" w:cs="Arial"/>
                <w:iCs/>
                <w:color w:val="4F81BD" w:themeColor="accent1"/>
                <w:sz w:val="24"/>
                <w:szCs w:val="24"/>
              </w:rPr>
              <w:t xml:space="preserve">n </w:t>
            </w:r>
            <w:r w:rsidRPr="00B93E6D">
              <w:rPr>
                <w:rFonts w:ascii="Arial" w:eastAsia="Times New Roman" w:hAnsi="Arial" w:cs="Arial"/>
                <w:iCs/>
                <w:color w:val="4F81BD" w:themeColor="accent1"/>
                <w:sz w:val="24"/>
                <w:szCs w:val="24"/>
              </w:rPr>
              <w:t>el C</w:t>
            </w:r>
            <w:r>
              <w:rPr>
                <w:rFonts w:ascii="Arial" w:eastAsia="Times New Roman" w:hAnsi="Arial" w:cs="Arial"/>
                <w:iCs/>
                <w:color w:val="4F81BD" w:themeColor="accent1"/>
                <w:sz w:val="24"/>
                <w:szCs w:val="24"/>
              </w:rPr>
              <w:t>ódigo Civil,</w:t>
            </w:r>
            <w:r w:rsidR="00E70073">
              <w:rPr>
                <w:rFonts w:ascii="Arial" w:eastAsia="Times New Roman" w:hAnsi="Arial" w:cs="Arial"/>
                <w:iCs/>
                <w:color w:val="4F81BD" w:themeColor="accent1"/>
                <w:sz w:val="24"/>
                <w:szCs w:val="24"/>
              </w:rPr>
              <w:t xml:space="preserve"> Ley 10.406/02,</w:t>
            </w:r>
            <w:r>
              <w:rPr>
                <w:rFonts w:ascii="Arial" w:eastAsia="Times New Roman" w:hAnsi="Arial" w:cs="Arial"/>
                <w:iCs/>
                <w:color w:val="4F81BD" w:themeColor="accent1"/>
                <w:sz w:val="24"/>
                <w:szCs w:val="24"/>
              </w:rPr>
              <w:t xml:space="preserve"> art. 1.190:</w:t>
            </w:r>
          </w:p>
          <w:p w:rsidR="00B93E6D" w:rsidRDefault="00B93E6D" w:rsidP="000636E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F269A6" w:rsidRDefault="00E70073" w:rsidP="00E7007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lang w:val="pt-BR"/>
              </w:rPr>
            </w:pPr>
            <w:r>
              <w:rPr>
                <w:rFonts w:ascii="Arial" w:eastAsia="Times New Roman" w:hAnsi="Arial" w:cs="Arial"/>
                <w:iCs/>
                <w:color w:val="4F81BD" w:themeColor="accent1"/>
                <w:sz w:val="24"/>
                <w:szCs w:val="24"/>
                <w:lang w:val="pt-BR"/>
              </w:rPr>
              <w:t>“</w:t>
            </w:r>
            <w:r w:rsidRPr="00E70073">
              <w:rPr>
                <w:rFonts w:ascii="Arial" w:eastAsia="Times New Roman" w:hAnsi="Arial" w:cs="Arial"/>
                <w:iCs/>
                <w:color w:val="4F81BD" w:themeColor="accent1"/>
                <w:sz w:val="24"/>
                <w:szCs w:val="24"/>
                <w:lang w:val="pt-BR"/>
              </w:rPr>
              <w:t>Art. 1.190. Ressalvados os casos previstos em lei, nenhuma autoridade, juiz ou tribunal, sob qualquer pretexto, poderá fazer ou ordenar diligência para verificar se o empresário ou a sociedade empresária observam, ou não, em seus livros e fichas, as formalidades prescritas em lei.</w:t>
            </w:r>
            <w:r>
              <w:rPr>
                <w:rFonts w:ascii="Arial" w:eastAsia="Times New Roman" w:hAnsi="Arial" w:cs="Arial"/>
                <w:iCs/>
                <w:color w:val="4F81BD" w:themeColor="accent1"/>
                <w:sz w:val="24"/>
                <w:szCs w:val="24"/>
                <w:lang w:val="pt-BR"/>
              </w:rPr>
              <w:t xml:space="preserve"> ”</w:t>
            </w:r>
          </w:p>
          <w:p w:rsidR="00550E79" w:rsidRDefault="00550E79" w:rsidP="00E7007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lang w:val="pt-BR"/>
              </w:rPr>
            </w:pPr>
          </w:p>
          <w:p w:rsidR="00550E79" w:rsidRDefault="00550E79" w:rsidP="00E7007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lang w:val="pt-BR"/>
              </w:rPr>
            </w:pPr>
          </w:p>
          <w:p w:rsidR="00550E79" w:rsidRDefault="00550E79" w:rsidP="0078080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r w:rsidRPr="00550E79">
              <w:rPr>
                <w:rFonts w:ascii="Arial" w:eastAsia="Times New Roman" w:hAnsi="Arial" w:cs="Arial"/>
                <w:iCs/>
                <w:color w:val="4F81BD" w:themeColor="accent1"/>
                <w:sz w:val="24"/>
                <w:szCs w:val="24"/>
              </w:rPr>
              <w:t xml:space="preserve">Hechas estas </w:t>
            </w:r>
            <w:r>
              <w:rPr>
                <w:rFonts w:ascii="Arial" w:eastAsia="Times New Roman" w:hAnsi="Arial" w:cs="Arial"/>
                <w:iCs/>
                <w:color w:val="4F81BD" w:themeColor="accent1"/>
                <w:sz w:val="24"/>
                <w:szCs w:val="24"/>
              </w:rPr>
              <w:t>consideraciones</w:t>
            </w:r>
            <w:r w:rsidRPr="00550E79">
              <w:rPr>
                <w:rFonts w:ascii="Arial" w:eastAsia="Times New Roman" w:hAnsi="Arial" w:cs="Arial"/>
                <w:iCs/>
                <w:color w:val="4F81BD" w:themeColor="accent1"/>
                <w:sz w:val="24"/>
                <w:szCs w:val="24"/>
              </w:rPr>
              <w:t>,</w:t>
            </w:r>
            <w:r>
              <w:rPr>
                <w:rFonts w:ascii="Arial" w:eastAsia="Times New Roman" w:hAnsi="Arial" w:cs="Arial"/>
                <w:iCs/>
                <w:color w:val="4F81BD" w:themeColor="accent1"/>
                <w:sz w:val="24"/>
                <w:szCs w:val="24"/>
              </w:rPr>
              <w:t xml:space="preserve"> aparentemente la única opción de </w:t>
            </w:r>
            <w:proofErr w:type="spellStart"/>
            <w:r>
              <w:rPr>
                <w:rFonts w:ascii="Arial" w:eastAsia="Times New Roman" w:hAnsi="Arial" w:cs="Arial"/>
                <w:iCs/>
                <w:color w:val="4F81BD" w:themeColor="accent1"/>
                <w:sz w:val="24"/>
                <w:szCs w:val="24"/>
              </w:rPr>
              <w:t>bilateralizar</w:t>
            </w:r>
            <w:proofErr w:type="spellEnd"/>
            <w:r>
              <w:rPr>
                <w:rFonts w:ascii="Arial" w:eastAsia="Times New Roman" w:hAnsi="Arial" w:cs="Arial"/>
                <w:iCs/>
                <w:color w:val="4F81BD" w:themeColor="accent1"/>
                <w:sz w:val="24"/>
                <w:szCs w:val="24"/>
              </w:rPr>
              <w:t xml:space="preserve"> </w:t>
            </w:r>
            <w:r w:rsidR="00535736">
              <w:rPr>
                <w:rFonts w:ascii="Arial" w:eastAsia="Times New Roman" w:hAnsi="Arial" w:cs="Arial"/>
                <w:iCs/>
                <w:color w:val="4F81BD" w:themeColor="accent1"/>
                <w:sz w:val="24"/>
                <w:szCs w:val="24"/>
              </w:rPr>
              <w:t xml:space="preserve">el </w:t>
            </w:r>
            <w:r w:rsidR="00535736" w:rsidRPr="00550E79">
              <w:rPr>
                <w:rFonts w:ascii="Arial" w:eastAsia="Times New Roman" w:hAnsi="Arial" w:cs="Arial"/>
                <w:iCs/>
                <w:color w:val="4F81BD" w:themeColor="accent1"/>
                <w:sz w:val="24"/>
                <w:szCs w:val="24"/>
              </w:rPr>
              <w:t>trámite</w:t>
            </w:r>
            <w:r>
              <w:rPr>
                <w:rFonts w:ascii="Arial" w:eastAsia="Times New Roman" w:hAnsi="Arial" w:cs="Arial"/>
                <w:iCs/>
                <w:color w:val="4F81BD" w:themeColor="accent1"/>
                <w:sz w:val="24"/>
                <w:szCs w:val="24"/>
              </w:rPr>
              <w:t xml:space="preserve">, o sea, buscar consentimiento de los terceros para divulgación de </w:t>
            </w:r>
            <w:r>
              <w:rPr>
                <w:rFonts w:ascii="Arial" w:eastAsia="Times New Roman" w:hAnsi="Arial" w:cs="Arial"/>
                <w:iCs/>
                <w:color w:val="4F81BD" w:themeColor="accent1"/>
                <w:sz w:val="24"/>
                <w:szCs w:val="24"/>
              </w:rPr>
              <w:lastRenderedPageBreak/>
              <w:t>informaciones de naturaleza económica o comercial parece ser</w:t>
            </w:r>
            <w:r w:rsidR="00780800">
              <w:rPr>
                <w:rFonts w:ascii="Arial" w:eastAsia="Times New Roman" w:hAnsi="Arial" w:cs="Arial"/>
                <w:iCs/>
                <w:color w:val="4F81BD" w:themeColor="accent1"/>
                <w:sz w:val="24"/>
                <w:szCs w:val="24"/>
              </w:rPr>
              <w:t xml:space="preserve"> en la primera vertiente. </w:t>
            </w:r>
          </w:p>
          <w:p w:rsidR="00780800" w:rsidRDefault="00780800" w:rsidP="0078080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p>
          <w:p w:rsidR="00780800" w:rsidRPr="00550E79" w:rsidRDefault="00780800" w:rsidP="000879E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4F81BD" w:themeColor="accent1"/>
                <w:sz w:val="24"/>
                <w:szCs w:val="24"/>
              </w:rPr>
            </w:pPr>
            <w:bookmarkStart w:id="0" w:name="_GoBack"/>
            <w:r>
              <w:rPr>
                <w:rFonts w:ascii="Arial" w:eastAsia="Times New Roman" w:hAnsi="Arial" w:cs="Arial"/>
                <w:iCs/>
                <w:color w:val="4F81BD" w:themeColor="accent1"/>
                <w:sz w:val="24"/>
                <w:szCs w:val="24"/>
              </w:rPr>
              <w:t xml:space="preserve">La CGU ya realiza </w:t>
            </w:r>
            <w:r w:rsidR="000879E7">
              <w:rPr>
                <w:rFonts w:ascii="Arial" w:eastAsia="Times New Roman" w:hAnsi="Arial" w:cs="Arial"/>
                <w:iCs/>
                <w:color w:val="4F81BD" w:themeColor="accent1"/>
                <w:sz w:val="24"/>
                <w:szCs w:val="24"/>
              </w:rPr>
              <w:t>interlocuciones con las empresas estatales buscando proporcionar la divulgación de la información cuando se percibe que no representa riesgos reales. Sin embargo, eventualmente sería interesante evaluar la pertinencia de que personas privadas también posan consentir con la posibilidad de divulgación de determinadas informaciones que tengan sido demandadas.</w:t>
            </w:r>
            <w:bookmarkEnd w:id="0"/>
          </w:p>
        </w:tc>
      </w:tr>
      <w:tr w:rsidR="009E2A68" w:rsidRPr="00A73560" w:rsidTr="008B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Borders>
              <w:top w:val="none" w:sz="0" w:space="0" w:color="auto"/>
              <w:left w:val="none" w:sz="0" w:space="0" w:color="auto"/>
              <w:bottom w:val="none" w:sz="0" w:space="0" w:color="auto"/>
            </w:tcBorders>
            <w:vAlign w:val="center"/>
          </w:tcPr>
          <w:p w:rsidR="009E2A68" w:rsidRPr="00F269A6" w:rsidRDefault="009E2A68" w:rsidP="009E2A68">
            <w:pPr>
              <w:spacing w:line="276" w:lineRule="auto"/>
              <w:jc w:val="center"/>
              <w:rPr>
                <w:rFonts w:ascii="Arial" w:eastAsia="Calibri" w:hAnsi="Arial" w:cs="Arial"/>
                <w:b w:val="0"/>
                <w:smallCaps/>
                <w:sz w:val="24"/>
                <w:szCs w:val="24"/>
              </w:rPr>
            </w:pPr>
            <w:r w:rsidRPr="00F269A6">
              <w:rPr>
                <w:rFonts w:ascii="Arial" w:eastAsia="Calibri" w:hAnsi="Arial" w:cs="Arial"/>
                <w:smallCaps/>
                <w:sz w:val="24"/>
                <w:szCs w:val="24"/>
              </w:rPr>
              <w:lastRenderedPageBreak/>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F269A6">
              <w:rPr>
                <w:rFonts w:ascii="Arial" w:eastAsia="Calibri" w:hAnsi="Arial" w:cs="Arial"/>
                <w:smallCaps/>
                <w:sz w:val="20"/>
                <w:szCs w:val="24"/>
              </w:rPr>
              <w:t xml:space="preserve">(¿Qué hace falta para mejorar el derecho de acceso en el tema </w:t>
            </w:r>
            <w:r w:rsidRPr="0055506D">
              <w:rPr>
                <w:rFonts w:ascii="Arial" w:eastAsia="Calibri" w:hAnsi="Arial" w:cs="Arial"/>
                <w:smallCaps/>
                <w:sz w:val="20"/>
                <w:szCs w:val="24"/>
                <w:lang w:val="es-MX"/>
              </w:rPr>
              <w:t>a discusión? – Nuevos Retos)</w:t>
            </w:r>
          </w:p>
        </w:tc>
        <w:tc>
          <w:tcPr>
            <w:tcW w:w="4279" w:type="pct"/>
            <w:tcBorders>
              <w:top w:val="none" w:sz="0" w:space="0" w:color="auto"/>
              <w:bottom w:val="none" w:sz="0" w:space="0" w:color="auto"/>
              <w:right w:val="none" w:sz="0" w:space="0" w:color="auto"/>
            </w:tcBorders>
            <w:vAlign w:val="center"/>
          </w:tcPr>
          <w:p w:rsidR="00EB2A7C" w:rsidRPr="006306A0" w:rsidRDefault="00EB2A7C" w:rsidP="002670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p>
          <w:p w:rsidR="00EB2A7C" w:rsidRPr="006306A0" w:rsidRDefault="00EB2A7C" w:rsidP="002670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p>
          <w:p w:rsidR="00EB2A7C" w:rsidRPr="006306A0" w:rsidRDefault="00EB2A7C" w:rsidP="002670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p>
          <w:p w:rsidR="00EB2A7C" w:rsidRDefault="00EB2A7C" w:rsidP="002670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r w:rsidRPr="00EB2A7C">
              <w:rPr>
                <w:rFonts w:ascii="Arial" w:eastAsia="Times New Roman" w:hAnsi="Arial" w:cs="Arial"/>
                <w:iCs/>
                <w:color w:val="4F81BD" w:themeColor="accent1"/>
                <w:sz w:val="24"/>
                <w:szCs w:val="24"/>
              </w:rPr>
              <w:t>Se observa oportunidad de avanzar en</w:t>
            </w:r>
            <w:r w:rsidR="00570E9E">
              <w:rPr>
                <w:rFonts w:ascii="Arial" w:eastAsia="Times New Roman" w:hAnsi="Arial" w:cs="Arial"/>
                <w:iCs/>
                <w:color w:val="4F81BD" w:themeColor="accent1"/>
                <w:sz w:val="24"/>
                <w:szCs w:val="24"/>
              </w:rPr>
              <w:t xml:space="preserve"> la utilización de la herramienta de prueba de daño, de manera a hacerla cada vez menos subjetiva. </w:t>
            </w:r>
          </w:p>
          <w:p w:rsidR="00A73560" w:rsidRDefault="00A73560" w:rsidP="002670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p>
          <w:p w:rsidR="00A73560" w:rsidRPr="00EB2A7C" w:rsidRDefault="00A73560" w:rsidP="002670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r>
              <w:rPr>
                <w:rFonts w:ascii="Arial" w:eastAsia="Times New Roman" w:hAnsi="Arial" w:cs="Arial"/>
                <w:iCs/>
                <w:color w:val="4F81BD" w:themeColor="accent1"/>
                <w:sz w:val="24"/>
                <w:szCs w:val="24"/>
              </w:rPr>
              <w:t xml:space="preserve">Se observa también oportunidad de hacer interlocución </w:t>
            </w:r>
            <w:r w:rsidR="0009289A">
              <w:rPr>
                <w:rFonts w:ascii="Arial" w:eastAsia="Times New Roman" w:hAnsi="Arial" w:cs="Arial"/>
                <w:iCs/>
                <w:color w:val="4F81BD" w:themeColor="accent1"/>
                <w:sz w:val="24"/>
                <w:szCs w:val="24"/>
              </w:rPr>
              <w:t xml:space="preserve">con personas privadas para buscar consentimiento para divulgación de determinadas informaciones. </w:t>
            </w:r>
          </w:p>
          <w:p w:rsidR="00EB2A7C" w:rsidRPr="00EB2A7C" w:rsidRDefault="00EB2A7C" w:rsidP="002670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4F81BD" w:themeColor="accent1"/>
                <w:sz w:val="24"/>
                <w:szCs w:val="24"/>
              </w:rPr>
            </w:pPr>
          </w:p>
          <w:p w:rsidR="009E2A68" w:rsidRPr="00A73560" w:rsidRDefault="009E2A68" w:rsidP="002670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36397" w:rsidTr="008B047D">
        <w:tc>
          <w:tcPr>
            <w:cnfStyle w:val="001000000000" w:firstRow="0" w:lastRow="0" w:firstColumn="1" w:lastColumn="0" w:oddVBand="0" w:evenVBand="0" w:oddHBand="0" w:evenHBand="0" w:firstRowFirstColumn="0" w:firstRowLastColumn="0" w:lastRowFirstColumn="0" w:lastRowLastColumn="0"/>
            <w:tcW w:w="721"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4279" w:type="pct"/>
            <w:vAlign w:val="center"/>
          </w:tcPr>
          <w:p w:rsidR="00836397" w:rsidRDefault="00836397"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504359" w:rsidRDefault="00504359"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504359" w:rsidRDefault="00504359"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504359" w:rsidRPr="006306A0" w:rsidRDefault="00504359"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836397" w:rsidRDefault="00F5274B"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Pr>
                <w:rFonts w:ascii="Arial" w:eastAsia="Times New Roman" w:hAnsi="Arial" w:cs="Arial"/>
                <w:color w:val="4F81BD" w:themeColor="accent1"/>
                <w:sz w:val="24"/>
                <w:szCs w:val="24"/>
                <w:lang w:eastAsia="es-ES"/>
              </w:rPr>
              <w:t xml:space="preserve">Inicialmente, es importante resaltar que todos los juzgados de CGU están disponibles en la plataforma de busca </w:t>
            </w:r>
            <w:hyperlink r:id="rId8" w:history="1">
              <w:r w:rsidRPr="00B60DE4">
                <w:rPr>
                  <w:rStyle w:val="Hipervnculo"/>
                  <w:rFonts w:ascii="Arial" w:eastAsia="Times New Roman" w:hAnsi="Arial" w:cs="Arial"/>
                  <w:sz w:val="24"/>
                  <w:szCs w:val="24"/>
                  <w:lang w:eastAsia="es-ES"/>
                </w:rPr>
                <w:t>http://buscaprecedentes.cgu.gov.br/busca/SitePages/principal.aspx</w:t>
              </w:r>
            </w:hyperlink>
            <w:r>
              <w:rPr>
                <w:rFonts w:ascii="Arial" w:eastAsia="Times New Roman" w:hAnsi="Arial" w:cs="Arial"/>
                <w:color w:val="4F81BD" w:themeColor="accent1"/>
                <w:sz w:val="24"/>
                <w:szCs w:val="24"/>
                <w:lang w:eastAsia="es-ES"/>
              </w:rPr>
              <w:t xml:space="preserve">.  </w:t>
            </w:r>
          </w:p>
          <w:p w:rsidR="00F2680B" w:rsidRDefault="00F2680B"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F2680B" w:rsidRDefault="00F5274B"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r>
              <w:rPr>
                <w:rFonts w:ascii="Arial" w:eastAsia="Times New Roman" w:hAnsi="Arial" w:cs="Arial"/>
                <w:color w:val="4F81BD" w:themeColor="accent1"/>
                <w:sz w:val="24"/>
                <w:szCs w:val="24"/>
                <w:lang w:eastAsia="es-ES"/>
              </w:rPr>
              <w:t xml:space="preserve">Parecer nº 319 de 14/02/2014: se solicitó el valor aprobado y desembolsado de financiamientos por el BNDES a un Grupo Comercial brasileño. La CGU hizo interlocución y obtuve consentimiento de los representantes legales del Grupo Comercial para divulgación de las informaciones Disponible </w:t>
            </w:r>
            <w:proofErr w:type="gramStart"/>
            <w:r>
              <w:rPr>
                <w:rFonts w:ascii="Arial" w:eastAsia="Times New Roman" w:hAnsi="Arial" w:cs="Arial"/>
                <w:color w:val="4F81BD" w:themeColor="accent1"/>
                <w:sz w:val="24"/>
                <w:szCs w:val="24"/>
                <w:lang w:eastAsia="es-ES"/>
              </w:rPr>
              <w:t>en .</w:t>
            </w:r>
            <w:proofErr w:type="gramEnd"/>
            <w:r>
              <w:t xml:space="preserve"> </w:t>
            </w:r>
            <w:hyperlink r:id="rId9" w:anchor="search=99903%252E000402%252F2013%252D21" w:history="1">
              <w:r w:rsidRPr="00B60DE4">
                <w:rPr>
                  <w:rStyle w:val="Hipervnculo"/>
                  <w:rFonts w:ascii="Arial" w:eastAsia="Times New Roman" w:hAnsi="Arial" w:cs="Arial"/>
                  <w:sz w:val="24"/>
                  <w:szCs w:val="24"/>
                  <w:lang w:eastAsia="es-ES"/>
                </w:rPr>
                <w:t>http://buscaprecedentes.cgu.gov.br/busca/dados/Precedente/99903000402201321_CGU.pdf#search=99903%252E000402%252F2013%252D21</w:t>
              </w:r>
            </w:hyperlink>
            <w:r>
              <w:rPr>
                <w:rFonts w:ascii="Arial" w:eastAsia="Times New Roman" w:hAnsi="Arial" w:cs="Arial"/>
                <w:color w:val="4F81BD" w:themeColor="accent1"/>
                <w:sz w:val="24"/>
                <w:szCs w:val="24"/>
                <w:lang w:eastAsia="es-ES"/>
              </w:rPr>
              <w:t xml:space="preserve">. </w:t>
            </w:r>
          </w:p>
          <w:p w:rsidR="00F2680B" w:rsidRDefault="00F2680B"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F2680B" w:rsidRDefault="00F2680B"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F2680B" w:rsidRPr="006306A0" w:rsidRDefault="00F2680B" w:rsidP="00C03E7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4"/>
                <w:szCs w:val="24"/>
                <w:lang w:eastAsia="es-ES"/>
              </w:rPr>
            </w:pPr>
          </w:p>
          <w:p w:rsidR="00C03E79" w:rsidRPr="00F878F3" w:rsidRDefault="00F878F3" w:rsidP="00C03E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6"/>
                <w:szCs w:val="26"/>
                <w:lang w:eastAsia="pt-BR"/>
              </w:rPr>
            </w:pPr>
            <w:r w:rsidRPr="006306A0">
              <w:rPr>
                <w:rFonts w:ascii="Arial" w:eastAsia="Times New Roman" w:hAnsi="Arial" w:cs="Arial"/>
                <w:color w:val="4F81BD" w:themeColor="accent1"/>
                <w:sz w:val="24"/>
                <w:szCs w:val="24"/>
                <w:lang w:eastAsia="es-ES"/>
              </w:rPr>
              <w:t>Parecer nº 3879 de 07/10/2016</w:t>
            </w:r>
            <w:proofErr w:type="gramStart"/>
            <w:r w:rsidR="00C03E79" w:rsidRPr="006306A0">
              <w:rPr>
                <w:rFonts w:ascii="Arial" w:eastAsia="Times New Roman" w:hAnsi="Arial" w:cs="Arial"/>
                <w:color w:val="4F81BD" w:themeColor="accent1"/>
                <w:sz w:val="24"/>
                <w:szCs w:val="24"/>
                <w:lang w:eastAsia="es-ES"/>
              </w:rPr>
              <w:t xml:space="preserve">:  </w:t>
            </w:r>
            <w:r w:rsidRPr="00F878F3">
              <w:rPr>
                <w:rFonts w:ascii="Arial" w:eastAsia="Times New Roman" w:hAnsi="Arial" w:cs="Arial"/>
                <w:color w:val="4F81BD" w:themeColor="accent1"/>
                <w:sz w:val="24"/>
                <w:szCs w:val="24"/>
                <w:lang w:eastAsia="es-ES"/>
              </w:rPr>
              <w:t>Copia</w:t>
            </w:r>
            <w:proofErr w:type="gramEnd"/>
            <w:r w:rsidR="00C03E79" w:rsidRPr="00F878F3">
              <w:rPr>
                <w:rFonts w:ascii="Arial" w:eastAsia="Times New Roman" w:hAnsi="Arial" w:cs="Arial"/>
                <w:color w:val="4F81BD" w:themeColor="accent1"/>
                <w:sz w:val="24"/>
                <w:szCs w:val="24"/>
                <w:lang w:eastAsia="es-ES"/>
              </w:rPr>
              <w:t xml:space="preserve"> integral de </w:t>
            </w:r>
            <w:r w:rsidRPr="00F878F3">
              <w:rPr>
                <w:rFonts w:ascii="Arial" w:eastAsia="Times New Roman" w:hAnsi="Arial" w:cs="Arial"/>
                <w:color w:val="4F81BD" w:themeColor="accent1"/>
                <w:sz w:val="24"/>
                <w:szCs w:val="24"/>
                <w:lang w:eastAsia="es-ES"/>
              </w:rPr>
              <w:t>procesos</w:t>
            </w:r>
            <w:r w:rsidR="00C03E79" w:rsidRPr="00F878F3">
              <w:rPr>
                <w:rFonts w:ascii="Arial" w:eastAsia="Times New Roman" w:hAnsi="Arial" w:cs="Arial"/>
                <w:color w:val="4F81BD" w:themeColor="accent1"/>
                <w:sz w:val="24"/>
                <w:szCs w:val="24"/>
                <w:lang w:eastAsia="es-ES"/>
              </w:rPr>
              <w:t xml:space="preserve"> administrativos de registro de medicamento genérico, </w:t>
            </w:r>
            <w:r w:rsidRPr="00F878F3">
              <w:rPr>
                <w:rFonts w:ascii="Arial" w:eastAsia="Times New Roman" w:hAnsi="Arial" w:cs="Arial"/>
                <w:color w:val="4F81BD" w:themeColor="accent1"/>
                <w:sz w:val="24"/>
                <w:szCs w:val="24"/>
                <w:lang w:eastAsia="es-ES"/>
              </w:rPr>
              <w:t>informaciones</w:t>
            </w:r>
            <w:r w:rsidR="00C03E79" w:rsidRPr="00F878F3">
              <w:rPr>
                <w:rFonts w:ascii="Arial" w:eastAsia="Times New Roman" w:hAnsi="Arial" w:cs="Arial"/>
                <w:color w:val="4F81BD" w:themeColor="accent1"/>
                <w:sz w:val="24"/>
                <w:szCs w:val="24"/>
                <w:lang w:eastAsia="es-ES"/>
              </w:rPr>
              <w:t xml:space="preserve"> </w:t>
            </w:r>
            <w:r w:rsidRPr="00F878F3">
              <w:rPr>
                <w:rFonts w:ascii="Arial" w:eastAsia="Times New Roman" w:hAnsi="Arial" w:cs="Arial"/>
                <w:color w:val="4F81BD" w:themeColor="accent1"/>
                <w:sz w:val="24"/>
                <w:szCs w:val="24"/>
                <w:lang w:eastAsia="es-ES"/>
              </w:rPr>
              <w:t>relativas a productos</w:t>
            </w:r>
            <w:r w:rsidR="00C03E79" w:rsidRPr="00F878F3">
              <w:rPr>
                <w:rFonts w:ascii="Arial" w:eastAsia="Times New Roman" w:hAnsi="Arial" w:cs="Arial"/>
                <w:color w:val="4F81BD" w:themeColor="accent1"/>
                <w:sz w:val="24"/>
                <w:szCs w:val="24"/>
                <w:lang w:eastAsia="es-ES"/>
              </w:rPr>
              <w:t xml:space="preserve"> (</w:t>
            </w:r>
            <w:r w:rsidRPr="00F878F3">
              <w:rPr>
                <w:rFonts w:ascii="Arial" w:eastAsia="Times New Roman" w:hAnsi="Arial" w:cs="Arial"/>
                <w:color w:val="4F81BD" w:themeColor="accent1"/>
                <w:sz w:val="26"/>
                <w:szCs w:val="26"/>
                <w:lang w:eastAsia="pt-BR"/>
              </w:rPr>
              <w:t>principio</w:t>
            </w:r>
            <w:r w:rsidR="00C03E79" w:rsidRPr="00F878F3">
              <w:rPr>
                <w:rFonts w:ascii="Arial" w:eastAsia="Times New Roman" w:hAnsi="Arial" w:cs="Arial"/>
                <w:color w:val="4F81BD" w:themeColor="accent1"/>
                <w:sz w:val="26"/>
                <w:szCs w:val="26"/>
                <w:lang w:eastAsia="pt-BR"/>
              </w:rPr>
              <w:t xml:space="preserve"> </w:t>
            </w:r>
            <w:r w:rsidRPr="00F878F3">
              <w:rPr>
                <w:rFonts w:ascii="Arial" w:eastAsia="Times New Roman" w:hAnsi="Arial" w:cs="Arial"/>
                <w:color w:val="4F81BD" w:themeColor="accent1"/>
                <w:sz w:val="26"/>
                <w:szCs w:val="26"/>
                <w:lang w:eastAsia="pt-BR"/>
              </w:rPr>
              <w:t>activo</w:t>
            </w:r>
            <w:r w:rsidR="00C03E79" w:rsidRPr="00F878F3">
              <w:rPr>
                <w:rFonts w:ascii="Arial" w:eastAsia="Times New Roman" w:hAnsi="Arial" w:cs="Arial"/>
                <w:color w:val="4F81BD" w:themeColor="accent1"/>
                <w:sz w:val="26"/>
                <w:szCs w:val="26"/>
                <w:lang w:eastAsia="pt-BR"/>
              </w:rPr>
              <w:t xml:space="preserve">, </w:t>
            </w:r>
            <w:r w:rsidRPr="00F878F3">
              <w:rPr>
                <w:rFonts w:ascii="Arial" w:eastAsia="Times New Roman" w:hAnsi="Arial" w:cs="Arial"/>
                <w:color w:val="4F81BD" w:themeColor="accent1"/>
                <w:sz w:val="26"/>
                <w:szCs w:val="26"/>
                <w:lang w:eastAsia="pt-BR"/>
              </w:rPr>
              <w:t>composición</w:t>
            </w:r>
            <w:r w:rsidR="00C03E79" w:rsidRPr="00F878F3">
              <w:rPr>
                <w:rFonts w:ascii="Arial" w:eastAsia="Times New Roman" w:hAnsi="Arial" w:cs="Arial"/>
                <w:color w:val="4F81BD" w:themeColor="accent1"/>
                <w:sz w:val="26"/>
                <w:szCs w:val="26"/>
                <w:lang w:eastAsia="pt-BR"/>
              </w:rPr>
              <w:t xml:space="preserve">, </w:t>
            </w:r>
            <w:r w:rsidR="00C03E79" w:rsidRPr="00686107">
              <w:rPr>
                <w:rFonts w:ascii="Arial" w:eastAsia="Times New Roman" w:hAnsi="Arial" w:cs="Arial"/>
                <w:color w:val="4F81BD" w:themeColor="accent1"/>
                <w:sz w:val="26"/>
                <w:szCs w:val="26"/>
                <w:lang w:eastAsia="pt-BR"/>
              </w:rPr>
              <w:t xml:space="preserve">forma </w:t>
            </w:r>
            <w:r w:rsidRPr="00686107">
              <w:rPr>
                <w:rFonts w:ascii="Arial" w:eastAsia="Times New Roman" w:hAnsi="Arial" w:cs="Arial"/>
                <w:color w:val="4F81BD" w:themeColor="accent1"/>
                <w:sz w:val="26"/>
                <w:szCs w:val="26"/>
                <w:lang w:eastAsia="pt-BR"/>
              </w:rPr>
              <w:t>farmacéutica</w:t>
            </w:r>
            <w:r w:rsidR="00C03E79" w:rsidRPr="00686107">
              <w:rPr>
                <w:rFonts w:ascii="Arial" w:eastAsia="Times New Roman" w:hAnsi="Arial" w:cs="Arial"/>
                <w:color w:val="4F81BD" w:themeColor="accent1"/>
                <w:sz w:val="26"/>
                <w:szCs w:val="26"/>
                <w:lang w:eastAsia="pt-BR"/>
              </w:rPr>
              <w:t xml:space="preserve">, </w:t>
            </w:r>
            <w:r w:rsidRPr="00686107">
              <w:rPr>
                <w:rFonts w:ascii="Arial" w:eastAsia="Times New Roman" w:hAnsi="Arial" w:cs="Arial"/>
                <w:color w:val="4F81BD" w:themeColor="accent1"/>
                <w:sz w:val="26"/>
                <w:szCs w:val="26"/>
                <w:lang w:eastAsia="pt-BR"/>
              </w:rPr>
              <w:t>vía</w:t>
            </w:r>
            <w:r w:rsidR="00C03E79" w:rsidRPr="00686107">
              <w:rPr>
                <w:rFonts w:ascii="Arial" w:eastAsia="Times New Roman" w:hAnsi="Arial" w:cs="Arial"/>
                <w:color w:val="4F81BD" w:themeColor="accent1"/>
                <w:sz w:val="26"/>
                <w:szCs w:val="26"/>
                <w:lang w:eastAsia="pt-BR"/>
              </w:rPr>
              <w:t xml:space="preserve"> de </w:t>
            </w:r>
            <w:r w:rsidRPr="00F878F3">
              <w:rPr>
                <w:rFonts w:ascii="Arial" w:eastAsia="Times New Roman" w:hAnsi="Arial" w:cs="Arial"/>
                <w:color w:val="4F81BD" w:themeColor="accent1"/>
                <w:sz w:val="26"/>
                <w:szCs w:val="26"/>
                <w:lang w:eastAsia="pt-BR"/>
              </w:rPr>
              <w:t>administración</w:t>
            </w:r>
            <w:r w:rsidR="00C03E79" w:rsidRPr="00686107">
              <w:rPr>
                <w:rFonts w:ascii="Arial" w:eastAsia="Times New Roman" w:hAnsi="Arial" w:cs="Arial"/>
                <w:color w:val="4F81BD" w:themeColor="accent1"/>
                <w:sz w:val="26"/>
                <w:szCs w:val="26"/>
                <w:lang w:eastAsia="pt-BR"/>
              </w:rPr>
              <w:t>,</w:t>
            </w:r>
            <w:r w:rsidR="00C03E79" w:rsidRPr="00F878F3">
              <w:rPr>
                <w:rFonts w:ascii="Arial" w:eastAsia="Times New Roman" w:hAnsi="Arial" w:cs="Arial"/>
                <w:color w:val="4F81BD" w:themeColor="accent1"/>
                <w:sz w:val="26"/>
                <w:szCs w:val="26"/>
                <w:lang w:eastAsia="pt-BR"/>
              </w:rPr>
              <w:t xml:space="preserve"> </w:t>
            </w:r>
            <w:r w:rsidRPr="00F878F3">
              <w:rPr>
                <w:rFonts w:ascii="Arial" w:eastAsia="Times New Roman" w:hAnsi="Arial" w:cs="Arial"/>
                <w:color w:val="4F81BD" w:themeColor="accent1"/>
                <w:sz w:val="26"/>
                <w:szCs w:val="26"/>
                <w:lang w:eastAsia="pt-BR"/>
              </w:rPr>
              <w:t>indicación</w:t>
            </w:r>
            <w:r w:rsidR="00C03E79" w:rsidRPr="00686107">
              <w:rPr>
                <w:rFonts w:ascii="Arial" w:eastAsia="Times New Roman" w:hAnsi="Arial" w:cs="Arial"/>
                <w:color w:val="4F81BD" w:themeColor="accent1"/>
                <w:sz w:val="26"/>
                <w:szCs w:val="26"/>
                <w:lang w:eastAsia="pt-BR"/>
              </w:rPr>
              <w:t xml:space="preserve"> </w:t>
            </w:r>
            <w:r w:rsidRPr="00686107">
              <w:rPr>
                <w:rFonts w:ascii="Arial" w:eastAsia="Times New Roman" w:hAnsi="Arial" w:cs="Arial"/>
                <w:color w:val="4F81BD" w:themeColor="accent1"/>
                <w:sz w:val="26"/>
                <w:szCs w:val="26"/>
                <w:lang w:eastAsia="pt-BR"/>
              </w:rPr>
              <w:t>terapéutica</w:t>
            </w:r>
            <w:r w:rsidR="00C03E79" w:rsidRPr="00686107">
              <w:rPr>
                <w:rFonts w:ascii="Arial" w:eastAsia="Times New Roman" w:hAnsi="Arial" w:cs="Arial"/>
                <w:color w:val="4F81BD" w:themeColor="accent1"/>
                <w:sz w:val="26"/>
                <w:szCs w:val="26"/>
                <w:lang w:eastAsia="pt-BR"/>
              </w:rPr>
              <w:t>, testes realizados, resultados, nom</w:t>
            </w:r>
            <w:r w:rsidRPr="00F878F3">
              <w:rPr>
                <w:rFonts w:ascii="Arial" w:eastAsia="Times New Roman" w:hAnsi="Arial" w:cs="Arial"/>
                <w:color w:val="4F81BD" w:themeColor="accent1"/>
                <w:sz w:val="26"/>
                <w:szCs w:val="26"/>
                <w:lang w:eastAsia="pt-BR"/>
              </w:rPr>
              <w:t>bre del</w:t>
            </w:r>
            <w:r w:rsidR="00C03E79" w:rsidRPr="00686107">
              <w:rPr>
                <w:rFonts w:ascii="Arial" w:eastAsia="Times New Roman" w:hAnsi="Arial" w:cs="Arial"/>
                <w:color w:val="4F81BD" w:themeColor="accent1"/>
                <w:sz w:val="26"/>
                <w:szCs w:val="26"/>
                <w:lang w:eastAsia="pt-BR"/>
              </w:rPr>
              <w:t xml:space="preserve"> medicamento </w:t>
            </w:r>
            <w:r w:rsidRPr="00686107">
              <w:rPr>
                <w:rFonts w:ascii="Arial" w:eastAsia="Times New Roman" w:hAnsi="Arial" w:cs="Arial"/>
                <w:color w:val="4F81BD" w:themeColor="accent1"/>
                <w:sz w:val="26"/>
                <w:szCs w:val="26"/>
                <w:lang w:eastAsia="pt-BR"/>
              </w:rPr>
              <w:t>referencia</w:t>
            </w:r>
            <w:r w:rsidR="00C03E79" w:rsidRPr="00686107">
              <w:rPr>
                <w:rFonts w:ascii="Arial" w:eastAsia="Times New Roman" w:hAnsi="Arial" w:cs="Arial"/>
                <w:color w:val="4F81BD" w:themeColor="accent1"/>
                <w:sz w:val="26"/>
                <w:szCs w:val="26"/>
                <w:lang w:eastAsia="pt-BR"/>
              </w:rPr>
              <w:t xml:space="preserve">, </w:t>
            </w:r>
            <w:r w:rsidRPr="00F878F3">
              <w:rPr>
                <w:rFonts w:ascii="Arial" w:eastAsia="Times New Roman" w:hAnsi="Arial" w:cs="Arial"/>
                <w:color w:val="4F81BD" w:themeColor="accent1"/>
                <w:sz w:val="26"/>
                <w:szCs w:val="26"/>
                <w:lang w:eastAsia="pt-BR"/>
              </w:rPr>
              <w:t xml:space="preserve">etc.) Disponible en </w:t>
            </w:r>
            <w:hyperlink r:id="rId10" w:anchor="search=25820%252E002668%252F2016%252D34" w:history="1">
              <w:r w:rsidRPr="00672459">
                <w:rPr>
                  <w:rStyle w:val="Hipervnculo"/>
                  <w:rFonts w:ascii="Arial" w:eastAsia="Times New Roman" w:hAnsi="Arial" w:cs="Arial"/>
                  <w:sz w:val="26"/>
                  <w:szCs w:val="26"/>
                  <w:lang w:eastAsia="pt-BR"/>
                </w:rPr>
                <w:t>http://buscaprecedentes.cgu.gov.br/busca/dados/Precedente/25820002672201601_CGU.pdf#search=25820%252E002668%252F2016%252D34</w:t>
              </w:r>
            </w:hyperlink>
            <w:r>
              <w:rPr>
                <w:rFonts w:ascii="Arial" w:eastAsia="Times New Roman" w:hAnsi="Arial" w:cs="Arial"/>
                <w:color w:val="4F81BD" w:themeColor="accent1"/>
                <w:sz w:val="26"/>
                <w:szCs w:val="26"/>
                <w:lang w:eastAsia="pt-BR"/>
              </w:rPr>
              <w:t xml:space="preserve"> </w:t>
            </w:r>
          </w:p>
          <w:p w:rsidR="00C03E79" w:rsidRPr="00F878F3" w:rsidRDefault="00C03E79" w:rsidP="00C03E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6"/>
                <w:szCs w:val="26"/>
                <w:lang w:eastAsia="pt-BR"/>
              </w:rPr>
            </w:pPr>
          </w:p>
          <w:p w:rsidR="00C03E79" w:rsidRPr="00F878F3" w:rsidRDefault="00C03E79" w:rsidP="00C03E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6"/>
                <w:szCs w:val="26"/>
                <w:lang w:eastAsia="pt-BR"/>
              </w:rPr>
            </w:pPr>
          </w:p>
          <w:p w:rsidR="00C03E79" w:rsidRPr="00686107" w:rsidRDefault="00F878F3" w:rsidP="00C03E7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F81BD" w:themeColor="accent1"/>
                <w:sz w:val="26"/>
                <w:szCs w:val="26"/>
                <w:lang w:eastAsia="pt-BR"/>
              </w:rPr>
            </w:pPr>
            <w:r w:rsidRPr="00F878F3">
              <w:rPr>
                <w:rFonts w:ascii="Arial" w:eastAsia="Times New Roman" w:hAnsi="Arial" w:cs="Arial"/>
                <w:color w:val="4F81BD" w:themeColor="accent1"/>
                <w:sz w:val="26"/>
                <w:szCs w:val="26"/>
                <w:lang w:eastAsia="pt-BR"/>
              </w:rPr>
              <w:t>Parecer nº 212, de 14/01/2016</w:t>
            </w:r>
            <w:r w:rsidR="00C03E79" w:rsidRPr="00F878F3">
              <w:rPr>
                <w:rFonts w:ascii="Arial" w:eastAsia="Times New Roman" w:hAnsi="Arial" w:cs="Arial"/>
                <w:color w:val="4F81BD" w:themeColor="accent1"/>
                <w:sz w:val="26"/>
                <w:szCs w:val="26"/>
                <w:lang w:eastAsia="pt-BR"/>
              </w:rPr>
              <w:t xml:space="preserve">: </w:t>
            </w:r>
            <w:r w:rsidRPr="00F878F3">
              <w:rPr>
                <w:rFonts w:ascii="Arial" w:eastAsia="Times New Roman" w:hAnsi="Arial" w:cs="Arial"/>
                <w:color w:val="4F81BD" w:themeColor="accent1"/>
                <w:sz w:val="26"/>
                <w:szCs w:val="26"/>
                <w:lang w:eastAsia="pt-BR"/>
              </w:rPr>
              <w:t xml:space="preserve">Acceso a proceso administrativo de la Agencia Nacional de </w:t>
            </w:r>
            <w:r>
              <w:rPr>
                <w:rFonts w:ascii="Arial" w:eastAsia="Times New Roman" w:hAnsi="Arial" w:cs="Arial"/>
                <w:color w:val="4F81BD" w:themeColor="accent1"/>
                <w:sz w:val="26"/>
                <w:szCs w:val="26"/>
                <w:lang w:eastAsia="pt-BR"/>
              </w:rPr>
              <w:t>Salud</w:t>
            </w:r>
            <w:r w:rsidRPr="00F878F3">
              <w:rPr>
                <w:rFonts w:ascii="Arial" w:eastAsia="Times New Roman" w:hAnsi="Arial" w:cs="Arial"/>
                <w:color w:val="4F81BD" w:themeColor="accent1"/>
                <w:sz w:val="26"/>
                <w:szCs w:val="26"/>
                <w:lang w:eastAsia="pt-BR"/>
              </w:rPr>
              <w:t xml:space="preserve">, relacionado a fiscalización de una empresa de planes de salud. </w:t>
            </w:r>
            <w:r w:rsidR="00836397" w:rsidRPr="00F878F3">
              <w:rPr>
                <w:rFonts w:ascii="Arial" w:eastAsia="Times New Roman" w:hAnsi="Arial" w:cs="Arial"/>
                <w:color w:val="4F81BD" w:themeColor="accent1"/>
                <w:sz w:val="26"/>
                <w:szCs w:val="26"/>
                <w:lang w:eastAsia="pt-BR"/>
              </w:rPr>
              <w:t>Disponible en</w:t>
            </w:r>
            <w:r w:rsidR="00836397" w:rsidRPr="00836397">
              <w:rPr>
                <w:rFonts w:ascii="Arial" w:eastAsia="Times New Roman" w:hAnsi="Arial" w:cs="Arial"/>
                <w:color w:val="4F81BD" w:themeColor="accent1"/>
                <w:sz w:val="26"/>
                <w:szCs w:val="26"/>
                <w:lang w:eastAsia="pt-BR"/>
              </w:rPr>
              <w:t xml:space="preserve"> </w:t>
            </w:r>
            <w:hyperlink r:id="rId11" w:anchor="search=25820%252E002887%252F2015%252D32" w:history="1">
              <w:r w:rsidR="00836397" w:rsidRPr="00672459">
                <w:rPr>
                  <w:rStyle w:val="Hipervnculo"/>
                  <w:rFonts w:ascii="Arial" w:eastAsia="Times New Roman" w:hAnsi="Arial" w:cs="Arial"/>
                  <w:sz w:val="26"/>
                  <w:szCs w:val="26"/>
                  <w:lang w:eastAsia="pt-BR"/>
                </w:rPr>
                <w:t>http://buscaprecedentes.cgu.gov.br/busca/dados/Precedente/25820002887201532_CGU.pdf#search=25820%252E002887%252F2015%252D32</w:t>
              </w:r>
            </w:hyperlink>
            <w:r w:rsidR="00836397">
              <w:rPr>
                <w:rFonts w:ascii="Arial" w:eastAsia="Times New Roman" w:hAnsi="Arial" w:cs="Arial"/>
                <w:color w:val="4F81BD" w:themeColor="accent1"/>
                <w:sz w:val="26"/>
                <w:szCs w:val="26"/>
                <w:lang w:eastAsia="pt-BR"/>
              </w:rPr>
              <w:t xml:space="preserve"> </w:t>
            </w:r>
          </w:p>
          <w:p w:rsidR="009E2A68"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915DE3" w:rsidRDefault="00915DE3"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915DE3" w:rsidRPr="00836397" w:rsidRDefault="00915DE3"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4B612B" w:rsidRPr="00836397"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14"/>
        <w:gridCol w:w="8266"/>
      </w:tblGrid>
      <w:tr w:rsidR="00882082" w:rsidRPr="008F4832" w:rsidTr="00E10CD4">
        <w:trPr>
          <w:cnfStyle w:val="100000000000" w:firstRow="1" w:lastRow="0" w:firstColumn="0" w:lastColumn="0" w:oddVBand="0" w:evenVBand="0" w:oddHBand="0" w:evenHBand="0" w:firstRowFirstColumn="0" w:firstRowLastColumn="0" w:lastRowFirstColumn="0" w:lastRowLastColumn="0"/>
          <w:trHeight w:val="812"/>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E5B8B7" w:themeColor="accent2" w:themeTint="66"/>
            </w:tcBorders>
            <w:vAlign w:val="center"/>
          </w:tcPr>
          <w:p w:rsidR="00882082" w:rsidRPr="00E10CD4" w:rsidRDefault="00882082" w:rsidP="00E10CD4">
            <w:pPr>
              <w:jc w:val="center"/>
              <w:rPr>
                <w:rFonts w:ascii="Arial" w:eastAsia="Calibri" w:hAnsi="Arial" w:cs="Arial"/>
                <w:sz w:val="24"/>
                <w:szCs w:val="24"/>
                <w:lang w:val="es-MX"/>
              </w:rPr>
            </w:pPr>
            <w:r w:rsidRPr="008F4832">
              <w:rPr>
                <w:rFonts w:ascii="Arial" w:eastAsia="Calibri" w:hAnsi="Arial" w:cs="Arial"/>
                <w:sz w:val="24"/>
                <w:szCs w:val="24"/>
                <w:lang w:val="es-MX"/>
              </w:rPr>
              <w:t>“</w:t>
            </w:r>
            <w:r w:rsidR="006537AD" w:rsidRPr="009E2A68">
              <w:rPr>
                <w:rFonts w:ascii="Arial" w:eastAsia="Times New Roman" w:hAnsi="Arial" w:cs="Arial"/>
                <w:iCs/>
                <w:smallCaps/>
                <w:sz w:val="24"/>
                <w:szCs w:val="24"/>
              </w:rPr>
              <w:t xml:space="preserve">Afectación de derechos económicos y comerciales de terceros por la entrega de información pública ¿corresponde, o es conveniente, </w:t>
            </w:r>
            <w:proofErr w:type="spellStart"/>
            <w:r w:rsidR="006537AD" w:rsidRPr="009E2A68">
              <w:rPr>
                <w:rFonts w:ascii="Arial" w:eastAsia="Times New Roman" w:hAnsi="Arial" w:cs="Arial"/>
                <w:iCs/>
                <w:smallCaps/>
                <w:sz w:val="24"/>
                <w:szCs w:val="24"/>
              </w:rPr>
              <w:t>bilateralizar</w:t>
            </w:r>
            <w:proofErr w:type="spellEnd"/>
            <w:r w:rsidR="006537AD" w:rsidRPr="009E2A68">
              <w:rPr>
                <w:rFonts w:ascii="Arial" w:eastAsia="Times New Roman" w:hAnsi="Arial" w:cs="Arial"/>
                <w:iCs/>
                <w:smallCaps/>
                <w:sz w:val="24"/>
                <w:szCs w:val="24"/>
              </w:rPr>
              <w:t xml:space="preserve"> el trámite?</w:t>
            </w:r>
            <w:r w:rsidRPr="008F4832">
              <w:rPr>
                <w:rFonts w:ascii="Arial" w:eastAsia="Calibri" w:hAnsi="Arial" w:cs="Arial"/>
                <w:sz w:val="24"/>
                <w:szCs w:val="24"/>
                <w:lang w:val="es-MX"/>
              </w:rPr>
              <w:t xml:space="preserve">” </w:t>
            </w:r>
          </w:p>
        </w:tc>
      </w:tr>
      <w:tr w:rsidR="00882082" w:rsidRPr="008F4832" w:rsidTr="0065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537AD">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(Conclusión para el Grupo)</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15" w:rsidRDefault="003A4A15" w:rsidP="009E2A68">
      <w:pPr>
        <w:spacing w:after="0" w:line="240" w:lineRule="auto"/>
      </w:pPr>
      <w:r>
        <w:separator/>
      </w:r>
    </w:p>
  </w:endnote>
  <w:endnote w:type="continuationSeparator" w:id="0">
    <w:p w:rsidR="003A4A15" w:rsidRDefault="003A4A15"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EF3529">
              <w:rPr>
                <w:rFonts w:ascii="Arial" w:hAnsi="Arial" w:cs="Arial"/>
                <w:b/>
                <w:bCs/>
                <w:noProof/>
                <w:sz w:val="18"/>
              </w:rPr>
              <w:t>8</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EF3529">
              <w:rPr>
                <w:rFonts w:ascii="Arial" w:hAnsi="Arial" w:cs="Arial"/>
                <w:b/>
                <w:bCs/>
                <w:noProof/>
                <w:sz w:val="18"/>
              </w:rPr>
              <w:t>8</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15" w:rsidRDefault="003A4A15" w:rsidP="009E2A68">
      <w:pPr>
        <w:spacing w:after="0" w:line="240" w:lineRule="auto"/>
      </w:pPr>
      <w:r>
        <w:separator/>
      </w:r>
    </w:p>
  </w:footnote>
  <w:footnote w:type="continuationSeparator" w:id="0">
    <w:p w:rsidR="003A4A15" w:rsidRDefault="003A4A15"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9E2A68"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Hoja de datos</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Cuarto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23D02FE"/>
    <w:multiLevelType w:val="hybridMultilevel"/>
    <w:tmpl w:val="C81ED034"/>
    <w:lvl w:ilvl="0" w:tplc="40683B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29FD"/>
    <w:rsid w:val="00011955"/>
    <w:rsid w:val="00021FEF"/>
    <w:rsid w:val="000305F4"/>
    <w:rsid w:val="0003063A"/>
    <w:rsid w:val="000352F9"/>
    <w:rsid w:val="00036D7B"/>
    <w:rsid w:val="000478B8"/>
    <w:rsid w:val="00052800"/>
    <w:rsid w:val="00055B31"/>
    <w:rsid w:val="00061FA4"/>
    <w:rsid w:val="00063528"/>
    <w:rsid w:val="000636ED"/>
    <w:rsid w:val="000879E7"/>
    <w:rsid w:val="0009289A"/>
    <w:rsid w:val="00097BDE"/>
    <w:rsid w:val="000C3244"/>
    <w:rsid w:val="000C73BC"/>
    <w:rsid w:val="000C7828"/>
    <w:rsid w:val="00113338"/>
    <w:rsid w:val="00136DC9"/>
    <w:rsid w:val="0014283E"/>
    <w:rsid w:val="00147A97"/>
    <w:rsid w:val="00150183"/>
    <w:rsid w:val="00160CC7"/>
    <w:rsid w:val="001707BC"/>
    <w:rsid w:val="00174087"/>
    <w:rsid w:val="00191BD7"/>
    <w:rsid w:val="0019455D"/>
    <w:rsid w:val="001F1D8B"/>
    <w:rsid w:val="001F5174"/>
    <w:rsid w:val="002015BD"/>
    <w:rsid w:val="00203117"/>
    <w:rsid w:val="00213C12"/>
    <w:rsid w:val="00226E1B"/>
    <w:rsid w:val="00231614"/>
    <w:rsid w:val="00244A43"/>
    <w:rsid w:val="00251C58"/>
    <w:rsid w:val="002670C8"/>
    <w:rsid w:val="00270F96"/>
    <w:rsid w:val="00276631"/>
    <w:rsid w:val="00287734"/>
    <w:rsid w:val="00294CFF"/>
    <w:rsid w:val="002F0224"/>
    <w:rsid w:val="002F5B18"/>
    <w:rsid w:val="00300AEC"/>
    <w:rsid w:val="0033112F"/>
    <w:rsid w:val="0033282F"/>
    <w:rsid w:val="003874DA"/>
    <w:rsid w:val="00393F65"/>
    <w:rsid w:val="0039462F"/>
    <w:rsid w:val="00397408"/>
    <w:rsid w:val="003A070F"/>
    <w:rsid w:val="003A0820"/>
    <w:rsid w:val="003A4A15"/>
    <w:rsid w:val="003A596B"/>
    <w:rsid w:val="003B6204"/>
    <w:rsid w:val="003F7AC2"/>
    <w:rsid w:val="004062AE"/>
    <w:rsid w:val="004205CB"/>
    <w:rsid w:val="00420E96"/>
    <w:rsid w:val="0042736F"/>
    <w:rsid w:val="00434403"/>
    <w:rsid w:val="00436105"/>
    <w:rsid w:val="00437341"/>
    <w:rsid w:val="00452D35"/>
    <w:rsid w:val="0045511F"/>
    <w:rsid w:val="004633C9"/>
    <w:rsid w:val="00486A8A"/>
    <w:rsid w:val="0049243E"/>
    <w:rsid w:val="0049352B"/>
    <w:rsid w:val="00495993"/>
    <w:rsid w:val="004B612B"/>
    <w:rsid w:val="004C4D70"/>
    <w:rsid w:val="00504359"/>
    <w:rsid w:val="00521672"/>
    <w:rsid w:val="00522A61"/>
    <w:rsid w:val="00522F6E"/>
    <w:rsid w:val="00535736"/>
    <w:rsid w:val="00550E79"/>
    <w:rsid w:val="0055506D"/>
    <w:rsid w:val="00561B02"/>
    <w:rsid w:val="005643E6"/>
    <w:rsid w:val="00570E9E"/>
    <w:rsid w:val="005712B7"/>
    <w:rsid w:val="00582A6F"/>
    <w:rsid w:val="005941F2"/>
    <w:rsid w:val="005E04AA"/>
    <w:rsid w:val="0061563C"/>
    <w:rsid w:val="00622B72"/>
    <w:rsid w:val="0062772D"/>
    <w:rsid w:val="006306A0"/>
    <w:rsid w:val="00630E95"/>
    <w:rsid w:val="00640EA8"/>
    <w:rsid w:val="006537AD"/>
    <w:rsid w:val="00667E6A"/>
    <w:rsid w:val="00670107"/>
    <w:rsid w:val="00671A7B"/>
    <w:rsid w:val="006720BA"/>
    <w:rsid w:val="00672EEE"/>
    <w:rsid w:val="00675A67"/>
    <w:rsid w:val="00676B7F"/>
    <w:rsid w:val="00686107"/>
    <w:rsid w:val="006935C8"/>
    <w:rsid w:val="00694D4A"/>
    <w:rsid w:val="006A7CB1"/>
    <w:rsid w:val="006B67F3"/>
    <w:rsid w:val="006B6F8D"/>
    <w:rsid w:val="006F62C6"/>
    <w:rsid w:val="0070398A"/>
    <w:rsid w:val="00722E90"/>
    <w:rsid w:val="00736513"/>
    <w:rsid w:val="007475E8"/>
    <w:rsid w:val="00747A18"/>
    <w:rsid w:val="00750436"/>
    <w:rsid w:val="00780800"/>
    <w:rsid w:val="00787100"/>
    <w:rsid w:val="0081263E"/>
    <w:rsid w:val="00834F03"/>
    <w:rsid w:val="00836397"/>
    <w:rsid w:val="00836DDD"/>
    <w:rsid w:val="0086789A"/>
    <w:rsid w:val="00882082"/>
    <w:rsid w:val="008957D2"/>
    <w:rsid w:val="00895DC0"/>
    <w:rsid w:val="008B047D"/>
    <w:rsid w:val="008B4992"/>
    <w:rsid w:val="008E056E"/>
    <w:rsid w:val="008E5B1D"/>
    <w:rsid w:val="008E6547"/>
    <w:rsid w:val="008F4832"/>
    <w:rsid w:val="00915DE3"/>
    <w:rsid w:val="00934D39"/>
    <w:rsid w:val="0095076A"/>
    <w:rsid w:val="00955580"/>
    <w:rsid w:val="00960DAF"/>
    <w:rsid w:val="00970F79"/>
    <w:rsid w:val="009760E6"/>
    <w:rsid w:val="00984E0A"/>
    <w:rsid w:val="009B0CF7"/>
    <w:rsid w:val="009D4DDB"/>
    <w:rsid w:val="009E2A68"/>
    <w:rsid w:val="00A27E14"/>
    <w:rsid w:val="00A4690C"/>
    <w:rsid w:val="00A73560"/>
    <w:rsid w:val="00A801E3"/>
    <w:rsid w:val="00A839D8"/>
    <w:rsid w:val="00A96394"/>
    <w:rsid w:val="00AC06FB"/>
    <w:rsid w:val="00AC7955"/>
    <w:rsid w:val="00AD1D93"/>
    <w:rsid w:val="00B0170B"/>
    <w:rsid w:val="00B366B0"/>
    <w:rsid w:val="00B54518"/>
    <w:rsid w:val="00B6392E"/>
    <w:rsid w:val="00B64D63"/>
    <w:rsid w:val="00B8373C"/>
    <w:rsid w:val="00B9000E"/>
    <w:rsid w:val="00B927E9"/>
    <w:rsid w:val="00B93E6D"/>
    <w:rsid w:val="00BC1FC3"/>
    <w:rsid w:val="00BC585B"/>
    <w:rsid w:val="00BC6AF3"/>
    <w:rsid w:val="00BE229D"/>
    <w:rsid w:val="00BE3CF6"/>
    <w:rsid w:val="00BE68EC"/>
    <w:rsid w:val="00BF075C"/>
    <w:rsid w:val="00BF4D03"/>
    <w:rsid w:val="00C03E79"/>
    <w:rsid w:val="00C11546"/>
    <w:rsid w:val="00C36733"/>
    <w:rsid w:val="00C41161"/>
    <w:rsid w:val="00C466E1"/>
    <w:rsid w:val="00C539DA"/>
    <w:rsid w:val="00C6174A"/>
    <w:rsid w:val="00C6750F"/>
    <w:rsid w:val="00C7591F"/>
    <w:rsid w:val="00C87ACB"/>
    <w:rsid w:val="00C9746B"/>
    <w:rsid w:val="00CB058C"/>
    <w:rsid w:val="00CB3B99"/>
    <w:rsid w:val="00CB4033"/>
    <w:rsid w:val="00CC235B"/>
    <w:rsid w:val="00CC7046"/>
    <w:rsid w:val="00CD4EE0"/>
    <w:rsid w:val="00CE4CF1"/>
    <w:rsid w:val="00CF4533"/>
    <w:rsid w:val="00D4286E"/>
    <w:rsid w:val="00D4779B"/>
    <w:rsid w:val="00D56C84"/>
    <w:rsid w:val="00D652D6"/>
    <w:rsid w:val="00D705F2"/>
    <w:rsid w:val="00DC6E19"/>
    <w:rsid w:val="00DE59E5"/>
    <w:rsid w:val="00E0095A"/>
    <w:rsid w:val="00E10CD4"/>
    <w:rsid w:val="00E131FB"/>
    <w:rsid w:val="00E23674"/>
    <w:rsid w:val="00E272FC"/>
    <w:rsid w:val="00E50840"/>
    <w:rsid w:val="00E5117C"/>
    <w:rsid w:val="00E65ABD"/>
    <w:rsid w:val="00E67257"/>
    <w:rsid w:val="00E70073"/>
    <w:rsid w:val="00E87EF2"/>
    <w:rsid w:val="00E959FB"/>
    <w:rsid w:val="00EA4D9D"/>
    <w:rsid w:val="00EB2A7C"/>
    <w:rsid w:val="00EB5349"/>
    <w:rsid w:val="00ED249C"/>
    <w:rsid w:val="00EE2909"/>
    <w:rsid w:val="00EF3529"/>
    <w:rsid w:val="00EF4D59"/>
    <w:rsid w:val="00F11AF9"/>
    <w:rsid w:val="00F246BB"/>
    <w:rsid w:val="00F2680B"/>
    <w:rsid w:val="00F269A6"/>
    <w:rsid w:val="00F368BA"/>
    <w:rsid w:val="00F426E4"/>
    <w:rsid w:val="00F5274B"/>
    <w:rsid w:val="00F617EE"/>
    <w:rsid w:val="00F64D83"/>
    <w:rsid w:val="00F77795"/>
    <w:rsid w:val="00F878F3"/>
    <w:rsid w:val="00FA1CBB"/>
    <w:rsid w:val="00FB7284"/>
    <w:rsid w:val="00FC2836"/>
    <w:rsid w:val="00FD1349"/>
    <w:rsid w:val="00FE2D9D"/>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character" w:styleId="Hipervnculo">
    <w:name w:val="Hyperlink"/>
    <w:basedOn w:val="Fuentedeprrafopredeter"/>
    <w:uiPriority w:val="99"/>
    <w:unhideWhenUsed/>
    <w:rsid w:val="00836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0571">
      <w:bodyDiv w:val="1"/>
      <w:marLeft w:val="0"/>
      <w:marRight w:val="0"/>
      <w:marTop w:val="0"/>
      <w:marBottom w:val="0"/>
      <w:divBdr>
        <w:top w:val="none" w:sz="0" w:space="0" w:color="auto"/>
        <w:left w:val="none" w:sz="0" w:space="0" w:color="auto"/>
        <w:bottom w:val="none" w:sz="0" w:space="0" w:color="auto"/>
        <w:right w:val="none" w:sz="0" w:space="0" w:color="auto"/>
      </w:divBdr>
    </w:div>
    <w:div w:id="297805245">
      <w:bodyDiv w:val="1"/>
      <w:marLeft w:val="0"/>
      <w:marRight w:val="0"/>
      <w:marTop w:val="0"/>
      <w:marBottom w:val="0"/>
      <w:divBdr>
        <w:top w:val="none" w:sz="0" w:space="0" w:color="auto"/>
        <w:left w:val="none" w:sz="0" w:space="0" w:color="auto"/>
        <w:bottom w:val="none" w:sz="0" w:space="0" w:color="auto"/>
        <w:right w:val="none" w:sz="0" w:space="0" w:color="auto"/>
      </w:divBdr>
      <w:divsChild>
        <w:div w:id="1050886655">
          <w:marLeft w:val="0"/>
          <w:marRight w:val="0"/>
          <w:marTop w:val="0"/>
          <w:marBottom w:val="0"/>
          <w:divBdr>
            <w:top w:val="none" w:sz="0" w:space="0" w:color="auto"/>
            <w:left w:val="none" w:sz="0" w:space="0" w:color="auto"/>
            <w:bottom w:val="none" w:sz="0" w:space="0" w:color="auto"/>
            <w:right w:val="none" w:sz="0" w:space="0" w:color="auto"/>
          </w:divBdr>
        </w:div>
        <w:div w:id="2116368069">
          <w:marLeft w:val="0"/>
          <w:marRight w:val="0"/>
          <w:marTop w:val="0"/>
          <w:marBottom w:val="0"/>
          <w:divBdr>
            <w:top w:val="none" w:sz="0" w:space="0" w:color="auto"/>
            <w:left w:val="none" w:sz="0" w:space="0" w:color="auto"/>
            <w:bottom w:val="none" w:sz="0" w:space="0" w:color="auto"/>
            <w:right w:val="none" w:sz="0" w:space="0" w:color="auto"/>
          </w:divBdr>
        </w:div>
        <w:div w:id="1055393996">
          <w:marLeft w:val="0"/>
          <w:marRight w:val="0"/>
          <w:marTop w:val="0"/>
          <w:marBottom w:val="0"/>
          <w:divBdr>
            <w:top w:val="none" w:sz="0" w:space="0" w:color="auto"/>
            <w:left w:val="none" w:sz="0" w:space="0" w:color="auto"/>
            <w:bottom w:val="none" w:sz="0" w:space="0" w:color="auto"/>
            <w:right w:val="none" w:sz="0" w:space="0" w:color="auto"/>
          </w:divBdr>
        </w:div>
        <w:div w:id="2047901389">
          <w:marLeft w:val="0"/>
          <w:marRight w:val="0"/>
          <w:marTop w:val="0"/>
          <w:marBottom w:val="0"/>
          <w:divBdr>
            <w:top w:val="none" w:sz="0" w:space="0" w:color="auto"/>
            <w:left w:val="none" w:sz="0" w:space="0" w:color="auto"/>
            <w:bottom w:val="none" w:sz="0" w:space="0" w:color="auto"/>
            <w:right w:val="none" w:sz="0" w:space="0" w:color="auto"/>
          </w:divBdr>
        </w:div>
        <w:div w:id="824321047">
          <w:marLeft w:val="0"/>
          <w:marRight w:val="0"/>
          <w:marTop w:val="0"/>
          <w:marBottom w:val="0"/>
          <w:divBdr>
            <w:top w:val="none" w:sz="0" w:space="0" w:color="auto"/>
            <w:left w:val="none" w:sz="0" w:space="0" w:color="auto"/>
            <w:bottom w:val="none" w:sz="0" w:space="0" w:color="auto"/>
            <w:right w:val="none" w:sz="0" w:space="0" w:color="auto"/>
          </w:divBdr>
        </w:div>
      </w:divsChild>
    </w:div>
    <w:div w:id="790513250">
      <w:bodyDiv w:val="1"/>
      <w:marLeft w:val="0"/>
      <w:marRight w:val="0"/>
      <w:marTop w:val="0"/>
      <w:marBottom w:val="0"/>
      <w:divBdr>
        <w:top w:val="none" w:sz="0" w:space="0" w:color="auto"/>
        <w:left w:val="none" w:sz="0" w:space="0" w:color="auto"/>
        <w:bottom w:val="none" w:sz="0" w:space="0" w:color="auto"/>
        <w:right w:val="none" w:sz="0" w:space="0" w:color="auto"/>
      </w:divBdr>
    </w:div>
    <w:div w:id="1037243479">
      <w:bodyDiv w:val="1"/>
      <w:marLeft w:val="0"/>
      <w:marRight w:val="0"/>
      <w:marTop w:val="0"/>
      <w:marBottom w:val="0"/>
      <w:divBdr>
        <w:top w:val="none" w:sz="0" w:space="0" w:color="auto"/>
        <w:left w:val="none" w:sz="0" w:space="0" w:color="auto"/>
        <w:bottom w:val="none" w:sz="0" w:space="0" w:color="auto"/>
        <w:right w:val="none" w:sz="0" w:space="0" w:color="auto"/>
      </w:divBdr>
      <w:divsChild>
        <w:div w:id="606737454">
          <w:marLeft w:val="0"/>
          <w:marRight w:val="0"/>
          <w:marTop w:val="0"/>
          <w:marBottom w:val="0"/>
          <w:divBdr>
            <w:top w:val="none" w:sz="0" w:space="0" w:color="auto"/>
            <w:left w:val="none" w:sz="0" w:space="0" w:color="auto"/>
            <w:bottom w:val="none" w:sz="0" w:space="0" w:color="auto"/>
            <w:right w:val="none" w:sz="0" w:space="0" w:color="auto"/>
          </w:divBdr>
        </w:div>
        <w:div w:id="744497451">
          <w:marLeft w:val="0"/>
          <w:marRight w:val="0"/>
          <w:marTop w:val="0"/>
          <w:marBottom w:val="0"/>
          <w:divBdr>
            <w:top w:val="none" w:sz="0" w:space="0" w:color="auto"/>
            <w:left w:val="none" w:sz="0" w:space="0" w:color="auto"/>
            <w:bottom w:val="none" w:sz="0" w:space="0" w:color="auto"/>
            <w:right w:val="none" w:sz="0" w:space="0" w:color="auto"/>
          </w:divBdr>
        </w:div>
        <w:div w:id="246767775">
          <w:marLeft w:val="0"/>
          <w:marRight w:val="0"/>
          <w:marTop w:val="0"/>
          <w:marBottom w:val="0"/>
          <w:divBdr>
            <w:top w:val="none" w:sz="0" w:space="0" w:color="auto"/>
            <w:left w:val="none" w:sz="0" w:space="0" w:color="auto"/>
            <w:bottom w:val="none" w:sz="0" w:space="0" w:color="auto"/>
            <w:right w:val="none" w:sz="0" w:space="0" w:color="auto"/>
          </w:divBdr>
        </w:div>
        <w:div w:id="1704014640">
          <w:marLeft w:val="0"/>
          <w:marRight w:val="0"/>
          <w:marTop w:val="0"/>
          <w:marBottom w:val="0"/>
          <w:divBdr>
            <w:top w:val="none" w:sz="0" w:space="0" w:color="auto"/>
            <w:left w:val="none" w:sz="0" w:space="0" w:color="auto"/>
            <w:bottom w:val="none" w:sz="0" w:space="0" w:color="auto"/>
            <w:right w:val="none" w:sz="0" w:space="0" w:color="auto"/>
          </w:divBdr>
        </w:div>
        <w:div w:id="1361934533">
          <w:marLeft w:val="0"/>
          <w:marRight w:val="0"/>
          <w:marTop w:val="0"/>
          <w:marBottom w:val="0"/>
          <w:divBdr>
            <w:top w:val="none" w:sz="0" w:space="0" w:color="auto"/>
            <w:left w:val="none" w:sz="0" w:space="0" w:color="auto"/>
            <w:bottom w:val="none" w:sz="0" w:space="0" w:color="auto"/>
            <w:right w:val="none" w:sz="0" w:space="0" w:color="auto"/>
          </w:divBdr>
        </w:div>
      </w:divsChild>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701100">
      <w:bodyDiv w:val="1"/>
      <w:marLeft w:val="0"/>
      <w:marRight w:val="0"/>
      <w:marTop w:val="0"/>
      <w:marBottom w:val="0"/>
      <w:divBdr>
        <w:top w:val="none" w:sz="0" w:space="0" w:color="auto"/>
        <w:left w:val="none" w:sz="0" w:space="0" w:color="auto"/>
        <w:bottom w:val="none" w:sz="0" w:space="0" w:color="auto"/>
        <w:right w:val="none" w:sz="0" w:space="0" w:color="auto"/>
      </w:divBdr>
    </w:div>
    <w:div w:id="1512374669">
      <w:bodyDiv w:val="1"/>
      <w:marLeft w:val="0"/>
      <w:marRight w:val="0"/>
      <w:marTop w:val="0"/>
      <w:marBottom w:val="0"/>
      <w:divBdr>
        <w:top w:val="none" w:sz="0" w:space="0" w:color="auto"/>
        <w:left w:val="none" w:sz="0" w:space="0" w:color="auto"/>
        <w:bottom w:val="none" w:sz="0" w:space="0" w:color="auto"/>
        <w:right w:val="none" w:sz="0" w:space="0" w:color="auto"/>
      </w:divBdr>
    </w:div>
    <w:div w:id="200612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caprecedentes.cgu.gov.br/busca/SitePages/principal.aspx"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caprecedentes.cgu.gov.br/busca/dados/Precedente/25820002887201532_CGU.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scaprecedentes.cgu.gov.br/busca/dados/Precedente/25820002672201601_CGU.pdf" TargetMode="External"/><Relationship Id="rId4" Type="http://schemas.openxmlformats.org/officeDocument/2006/relationships/settings" Target="settings.xml"/><Relationship Id="rId9" Type="http://schemas.openxmlformats.org/officeDocument/2006/relationships/hyperlink" Target="http://buscaprecedentes.cgu.gov.br/busca/dados/Precedente/99903000402201321_CGU.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99733014-62D9-4066-806A-F0377B87CC7D}"/>
</file>

<file path=customXml/itemProps2.xml><?xml version="1.0" encoding="utf-8"?>
<ds:datastoreItem xmlns:ds="http://schemas.openxmlformats.org/officeDocument/2006/customXml" ds:itemID="{00BBA2ED-AC12-4A0F-99EE-8C893A619A01}"/>
</file>

<file path=customXml/itemProps3.xml><?xml version="1.0" encoding="utf-8"?>
<ds:datastoreItem xmlns:ds="http://schemas.openxmlformats.org/officeDocument/2006/customXml" ds:itemID="{BDCB0B12-68AF-477B-A35B-1DDFA8884644}"/>
</file>

<file path=customXml/itemProps4.xml><?xml version="1.0" encoding="utf-8"?>
<ds:datastoreItem xmlns:ds="http://schemas.openxmlformats.org/officeDocument/2006/customXml" ds:itemID="{4D769619-FAA4-4EAF-96BE-635FAD1B8AC8}"/>
</file>

<file path=docProps/app.xml><?xml version="1.0" encoding="utf-8"?>
<Properties xmlns="http://schemas.openxmlformats.org/officeDocument/2006/extended-properties" xmlns:vt="http://schemas.openxmlformats.org/officeDocument/2006/docPropsVTypes">
  <Template>Normal</Template>
  <TotalTime>34</TotalTime>
  <Pages>1</Pages>
  <Words>2306</Words>
  <Characters>12688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5</cp:revision>
  <cp:lastPrinted>2015-11-23T17:16:00Z</cp:lastPrinted>
  <dcterms:created xsi:type="dcterms:W3CDTF">2016-11-04T02:51:00Z</dcterms:created>
  <dcterms:modified xsi:type="dcterms:W3CDTF">2016-11-18T20:20:00Z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