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68" w:rsidRPr="00124486" w:rsidRDefault="00231614" w:rsidP="0012448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4486">
        <w:rPr>
          <w:rFonts w:ascii="Arial" w:hAnsi="Arial" w:cs="Arial"/>
          <w:b/>
          <w:sz w:val="24"/>
          <w:szCs w:val="24"/>
        </w:rPr>
        <w:tab/>
      </w:r>
    </w:p>
    <w:tbl>
      <w:tblPr>
        <w:tblStyle w:val="Listaclara-nfasis2"/>
        <w:tblW w:w="5000" w:type="pct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4" w:space="0" w:color="E5B8B7" w:themeColor="accent2" w:themeTint="66"/>
          <w:insideV w:val="single" w:sz="4" w:space="0" w:color="E5B8B7" w:themeColor="accent2" w:themeTint="66"/>
        </w:tblBorders>
        <w:tblLook w:val="04A0" w:firstRow="1" w:lastRow="0" w:firstColumn="1" w:lastColumn="0" w:noHBand="0" w:noVBand="1"/>
      </w:tblPr>
      <w:tblGrid>
        <w:gridCol w:w="2569"/>
        <w:gridCol w:w="8447"/>
      </w:tblGrid>
      <w:tr w:rsidR="00882082" w:rsidRPr="00124486" w:rsidTr="00011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882082" w:rsidRPr="00124486" w:rsidRDefault="009E2A68" w:rsidP="00124486">
            <w:pPr>
              <w:jc w:val="center"/>
              <w:rPr>
                <w:rFonts w:ascii="Arial" w:eastAsia="Times New Roman" w:hAnsi="Arial" w:cs="Arial"/>
                <w:iCs/>
                <w:smallCaps/>
                <w:sz w:val="24"/>
                <w:szCs w:val="24"/>
              </w:rPr>
            </w:pPr>
            <w:r w:rsidRPr="00124486">
              <w:rPr>
                <w:rFonts w:ascii="Arial" w:eastAsia="Times New Roman" w:hAnsi="Arial" w:cs="Arial"/>
                <w:iCs/>
                <w:smallCaps/>
                <w:sz w:val="24"/>
                <w:szCs w:val="24"/>
              </w:rPr>
              <w:t>Afectación de derechos económicos y comerciales de terceros por la entrega de información pública ¿corresponde, o es conveniente, bilateralizar el trámite?</w:t>
            </w:r>
          </w:p>
        </w:tc>
      </w:tr>
      <w:tr w:rsidR="00522F6E" w:rsidRPr="00124486" w:rsidTr="0001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22F6E" w:rsidRPr="00124486" w:rsidRDefault="009E2A68" w:rsidP="00124486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País e institución representada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6A8A" w:rsidRPr="00124486" w:rsidRDefault="0046764B" w:rsidP="00124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PERÚ/DEFENSORÍA DEL PUEBLO</w:t>
            </w:r>
          </w:p>
        </w:tc>
      </w:tr>
      <w:tr w:rsidR="009E2A68" w:rsidRPr="00124486" w:rsidTr="00011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Breve Descripción</w:t>
            </w:r>
          </w:p>
        </w:tc>
        <w:tc>
          <w:tcPr>
            <w:tcW w:w="3834" w:type="pct"/>
            <w:vAlign w:val="center"/>
          </w:tcPr>
          <w:p w:rsidR="00124486" w:rsidRDefault="00124486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9E2A68" w:rsidRPr="00124486" w:rsidRDefault="0061563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</w:t>
            </w:r>
            <w:r w:rsidR="009E2A68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fin de delimitar el tema, </w:t>
            </w:r>
            <w:r w:rsidR="00287734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a continuación 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se desarrollan</w:t>
            </w:r>
            <w:r w:rsidR="009E2A68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algunas reflexiones 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que pueden servir</w:t>
            </w:r>
            <w:r w:rsidR="009E2A68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como facilitadores del debate:</w:t>
            </w:r>
          </w:p>
          <w:p w:rsidR="009E2A68" w:rsidRPr="00124486" w:rsidRDefault="009E2A68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9E2A68" w:rsidRPr="00124486" w:rsidRDefault="009E2A68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¿</w:t>
            </w:r>
            <w:r w:rsidR="0061563C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Qué se entiende por derechos económicos y comerciales en su </w:t>
            </w:r>
            <w:r w:rsidR="006935C8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legislación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?</w:t>
            </w:r>
          </w:p>
          <w:p w:rsidR="00F64D83" w:rsidRPr="00124486" w:rsidRDefault="00F64D83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¿Quiénes son los titulares de los derechos económicos y comerciales dentro de su jurisdicción?</w:t>
            </w:r>
          </w:p>
          <w:p w:rsidR="009E2A68" w:rsidRPr="00124486" w:rsidRDefault="009E2A68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¿</w:t>
            </w:r>
            <w:r w:rsidR="0061563C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Qué tipo de información suele ser proporcionada a los sujetos obligados</w:t>
            </w:r>
            <w:r w:rsidR="00F64D83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(en materia de acceso a la información)</w:t>
            </w:r>
            <w:r w:rsidR="0061563C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por</w:t>
            </w:r>
            <w:r w:rsidR="00287734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los</w:t>
            </w:r>
            <w:r w:rsidR="0061563C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F64D83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terceros</w:t>
            </w:r>
            <w:r w:rsidR="00287734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?</w:t>
            </w:r>
          </w:p>
          <w:p w:rsidR="0061563C" w:rsidRPr="00124486" w:rsidRDefault="009E2A68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¿</w:t>
            </w:r>
            <w:r w:rsidR="00287734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Cuáles son los parámetros de confidencialidad de la información que se encuentran establecidos en su normativa vigente?</w:t>
            </w:r>
          </w:p>
          <w:p w:rsidR="009E2A68" w:rsidRPr="00124486" w:rsidRDefault="00287734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¿En su </w:t>
            </w:r>
            <w:r w:rsidR="006935C8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legislación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se contempla la figura de entrega en </w:t>
            </w:r>
            <w:r w:rsidRPr="00124486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versión pública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esto es la entrega de 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documentos o expedientes en el que se da acceso a información eliminando u omitiendo las partes o secciones clasificadas</w:t>
            </w:r>
            <w:r w:rsidR="00150183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?</w:t>
            </w:r>
          </w:p>
          <w:p w:rsidR="00150183" w:rsidRPr="00124486" w:rsidRDefault="00150183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Actualmente ¿cuál es el proceso que se sigue en su Institución para dar acceso o en su caso, negar el mismo, a información de terceros que incluyan datos relacionados con derechos económicos y comerciales?</w:t>
            </w:r>
          </w:p>
          <w:p w:rsidR="00420E96" w:rsidRPr="00124486" w:rsidRDefault="00420E96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¿En su </w:t>
            </w:r>
            <w:r w:rsidR="006935C8"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legislación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se requiere contar con el consentimiento expreso de los particulares o los terceros para dar acceso a su información?</w:t>
            </w:r>
          </w:p>
          <w:p w:rsidR="00231614" w:rsidRDefault="00231614" w:rsidP="00124486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¿Considera que la prueba de daño es una herramienta adecuada para discernir entre la divulgación o la clasificación de la información de terceros?</w:t>
            </w:r>
          </w:p>
          <w:p w:rsidR="00124486" w:rsidRPr="00124486" w:rsidRDefault="00124486" w:rsidP="00124486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</w:tc>
      </w:tr>
      <w:tr w:rsidR="009E2A68" w:rsidRPr="00124486" w:rsidTr="0001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Consideraciones Generales (Relevancia del tema)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C3B7E" w:rsidRPr="00124486" w:rsidRDefault="000C3B7E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D67FA1" w:rsidRPr="00124486" w:rsidRDefault="00D67FA1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La Constitución Política señala expresamente que toda persona tiene derecho a </w:t>
            </w:r>
            <w:bookmarkStart w:id="1" w:name="JD_salas4206"/>
            <w:bookmarkEnd w:id="1"/>
            <w:r w:rsidRPr="001244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solicitar sin expresión de causa la información que requiera y a recibirla de cualquier entidad pública, en el plazo legal, con el costo que suponga el pedido.  Se </w:t>
            </w:r>
            <w:r w:rsidRPr="00124486">
              <w:rPr>
                <w:rFonts w:ascii="Arial" w:hAnsi="Arial" w:cs="Arial"/>
                <w:b/>
                <w:sz w:val="24"/>
                <w:szCs w:val="24"/>
              </w:rPr>
              <w:t>exceptúan las informaciones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 que afectan la intimidad personal y las que </w:t>
            </w:r>
            <w:r w:rsidRPr="00124486">
              <w:rPr>
                <w:rFonts w:ascii="Arial" w:hAnsi="Arial" w:cs="Arial"/>
                <w:b/>
                <w:sz w:val="24"/>
                <w:szCs w:val="24"/>
              </w:rPr>
              <w:t>expresamente se excluyan por ley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 o por razones de seguridad nacional.</w:t>
            </w:r>
            <w:r w:rsidRPr="001244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 (artículo 2.5)</w:t>
            </w:r>
          </w:p>
          <w:p w:rsidR="00D67FA1" w:rsidRPr="00124486" w:rsidRDefault="00D67FA1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67FA1" w:rsidRPr="00124486" w:rsidRDefault="00D67FA1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244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ese sentido, el Texto Único Ordenado de la Ley de Transparencia y Acceso a la Información Pública, Ley Nº 27806, precisa que se considera información confidencial, y por ende, el derecho de acceso a la información pública no podrá ser ejercido, respecto a la «información protegida por el </w:t>
            </w:r>
            <w:r w:rsidRPr="0012448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secreto bancario, tributario, comercial, industrial, tecnológico y bursátil</w:t>
            </w:r>
            <w:r w:rsidRPr="001244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244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que están regulados, unos por el inciso 5 del artículo 2 de la Constitución, y los demás por la legislación pertinente.» (artículo 17.2)</w:t>
            </w:r>
          </w:p>
          <w:p w:rsidR="003F335D" w:rsidRPr="00124486" w:rsidRDefault="003F335D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BE19FB" w:rsidRPr="00124486" w:rsidRDefault="00BE19FB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>Sin embargo,</w:t>
            </w:r>
            <w:r w:rsidR="00BE4C56" w:rsidRPr="00124486">
              <w:rPr>
                <w:rFonts w:ascii="Arial" w:hAnsi="Arial" w:cs="Arial"/>
                <w:sz w:val="24"/>
                <w:szCs w:val="24"/>
              </w:rPr>
              <w:t xml:space="preserve"> como veremos más adelante, 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no se cuentan con definiciones vinculantes suficientes para definir dichos conceptos. </w:t>
            </w:r>
          </w:p>
          <w:p w:rsidR="00BE19FB" w:rsidRPr="00124486" w:rsidRDefault="00BE19FB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19FB" w:rsidRPr="00124486" w:rsidRDefault="00BE19FB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 xml:space="preserve">De allí que, </w:t>
            </w:r>
            <w:r w:rsidR="00BE4C56" w:rsidRPr="00124486">
              <w:rPr>
                <w:rFonts w:ascii="Arial" w:hAnsi="Arial" w:cs="Arial"/>
                <w:sz w:val="24"/>
                <w:szCs w:val="24"/>
              </w:rPr>
              <w:t xml:space="preserve">si bien </w:t>
            </w:r>
            <w:r w:rsidRPr="00124486">
              <w:rPr>
                <w:rFonts w:ascii="Arial" w:hAnsi="Arial" w:cs="Arial"/>
                <w:sz w:val="24"/>
                <w:szCs w:val="24"/>
              </w:rPr>
              <w:t>s</w:t>
            </w:r>
            <w:r w:rsidR="00BE4C56" w:rsidRPr="00124486">
              <w:rPr>
                <w:rFonts w:ascii="Arial" w:hAnsi="Arial" w:cs="Arial"/>
                <w:sz w:val="24"/>
                <w:szCs w:val="24"/>
              </w:rPr>
              <w:t>e advierte que los derechos económicos y comerciales de terceros</w:t>
            </w:r>
            <w:r w:rsidR="007A154F" w:rsidRPr="00124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C56" w:rsidRPr="00124486">
              <w:rPr>
                <w:rFonts w:ascii="Arial" w:hAnsi="Arial" w:cs="Arial"/>
                <w:sz w:val="24"/>
                <w:szCs w:val="24"/>
              </w:rPr>
              <w:t xml:space="preserve">son </w:t>
            </w:r>
            <w:r w:rsidRPr="00124486">
              <w:rPr>
                <w:rFonts w:ascii="Arial" w:hAnsi="Arial" w:cs="Arial"/>
                <w:sz w:val="24"/>
                <w:szCs w:val="24"/>
              </w:rPr>
              <w:t>una limitación constitucional al derecho de acceso a la información pública</w:t>
            </w:r>
            <w:r w:rsidR="007A154F" w:rsidRPr="00124486">
              <w:rPr>
                <w:rFonts w:ascii="Arial" w:hAnsi="Arial" w:cs="Arial"/>
                <w:sz w:val="24"/>
                <w:szCs w:val="24"/>
              </w:rPr>
              <w:t>, el marco legal vigente es insuficiente.</w:t>
            </w:r>
          </w:p>
          <w:p w:rsidR="00BE19FB" w:rsidRPr="00124486" w:rsidRDefault="00BE19FB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335D" w:rsidRPr="00124486" w:rsidRDefault="00BE19FB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 xml:space="preserve">Es por ello, que es necesario desarrollar pautas para </w:t>
            </w:r>
            <w:r w:rsidR="00236F2C" w:rsidRPr="00124486">
              <w:rPr>
                <w:rFonts w:ascii="Arial" w:hAnsi="Arial" w:cs="Arial"/>
                <w:sz w:val="24"/>
                <w:szCs w:val="24"/>
              </w:rPr>
              <w:t xml:space="preserve">definir qué y cómo se configuran los diversos </w:t>
            </w:r>
            <w:r w:rsidRPr="00124486">
              <w:rPr>
                <w:rFonts w:ascii="Arial" w:hAnsi="Arial" w:cs="Arial"/>
                <w:sz w:val="24"/>
                <w:szCs w:val="24"/>
              </w:rPr>
              <w:t>derecho</w:t>
            </w:r>
            <w:r w:rsidR="00236F2C" w:rsidRPr="00124486">
              <w:rPr>
                <w:rFonts w:ascii="Arial" w:hAnsi="Arial" w:cs="Arial"/>
                <w:sz w:val="24"/>
                <w:szCs w:val="24"/>
              </w:rPr>
              <w:t>s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 económico</w:t>
            </w:r>
            <w:r w:rsidR="00236F2C" w:rsidRPr="00124486">
              <w:rPr>
                <w:rFonts w:ascii="Arial" w:hAnsi="Arial" w:cs="Arial"/>
                <w:sz w:val="24"/>
                <w:szCs w:val="24"/>
              </w:rPr>
              <w:t>s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 y/o comercial</w:t>
            </w:r>
            <w:r w:rsidR="00236F2C" w:rsidRPr="00124486">
              <w:rPr>
                <w:rFonts w:ascii="Arial" w:hAnsi="Arial" w:cs="Arial"/>
                <w:sz w:val="24"/>
                <w:szCs w:val="24"/>
              </w:rPr>
              <w:t>es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, a fin de evitar interpretaciones amplias o análogas, prohibidas expresamente ante el ejercicio de este derecho fundamental (artículo 18º TUO de la Ley Nº 27806). </w:t>
            </w:r>
          </w:p>
          <w:p w:rsidR="000C3B7E" w:rsidRPr="00124486" w:rsidRDefault="000C3B7E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9E2A68" w:rsidRPr="00124486" w:rsidTr="00011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 xml:space="preserve">Consideraciones </w:t>
            </w:r>
          </w:p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(Posición sobre el tema)</w:t>
            </w:r>
          </w:p>
        </w:tc>
        <w:tc>
          <w:tcPr>
            <w:tcW w:w="3834" w:type="pct"/>
            <w:vAlign w:val="center"/>
          </w:tcPr>
          <w:p w:rsidR="005F645C" w:rsidRPr="00124486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F645C" w:rsidRPr="00124486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244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onforme a lo establecido en el marco jurídico en materia de transparencia y acceso a la información pública y la jurisprudenc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ia de Tribunal Constitucional, cuando una entidad niega el acceso a la información, debe hacerlo </w:t>
            </w:r>
            <w:r w:rsidR="000F0405" w:rsidRPr="001244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cumpliendo 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los parámetros constitucion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ales y legales que se indican a continuación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:  </w:t>
            </w:r>
          </w:p>
          <w:p w:rsidR="00E556D0" w:rsidRPr="005F645C" w:rsidRDefault="00E556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F645C" w:rsidRPr="005F645C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1° La información solicitada debe encontrarse </w:t>
            </w:r>
            <w:r w:rsidRPr="005F64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dentro del régimen de las excepciones 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expresamente contempladas en los artículos 15º, 16º y 17º del TUO de la Ley Nº 27806. De ahí que, al no encontrarse protegida por las excepciones legales, la información solicitada es pública.</w:t>
            </w:r>
          </w:p>
          <w:p w:rsidR="005F645C" w:rsidRPr="005F645C" w:rsidRDefault="005F645C" w:rsidP="00124486">
            <w:pPr>
              <w:ind w:left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5F645C" w:rsidRPr="005F645C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2º La entidad está obligada a </w:t>
            </w:r>
            <w:r w:rsidRPr="005F64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expresar por escrito cuáles son aquellos elementos probatorios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que indican que la divulgación de la información afectará los derechos y/o bienes jurídicos protegidos por alguna de las excepciones contempladas en dicho régimen (artículo 13 TUO Ley 27806, STC Nº 5173-2011-PHD/TC y Corte I.D.H., Caso Claude Reyes).</w:t>
            </w:r>
          </w:p>
          <w:p w:rsidR="005F645C" w:rsidRPr="005F645C" w:rsidRDefault="005F645C" w:rsidP="00124486">
            <w:pPr>
              <w:ind w:left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  <w:p w:rsidR="005F645C" w:rsidRPr="005F645C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 ese sentido, el solo hecho de que una norma o un acto administrativo, clasifique la información en un supuesto de excepción, no es razón suficiente, en términos constitucionales, para denegar el acceso a la misma. Por el contrario, la entidad se encuentra obligada a brindar una motivación “cualificada” (STC N° 3035-2012-PHD/TC y Nº 950-00-HD)</w:t>
            </w:r>
          </w:p>
          <w:p w:rsidR="005F645C" w:rsidRPr="005F645C" w:rsidRDefault="005F645C" w:rsidP="00124486">
            <w:pPr>
              <w:ind w:left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  <w:p w:rsidR="005F645C" w:rsidRPr="005F645C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Asimismo, no basta con alegarse que la información pueda afectar la seguridad y/o poner en riesgo la vida e integridad de las personas 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involucradas, sino que ello debe ser meridianamente acreditado. (Exp. Nº 5173-2011-PHD/TC)</w:t>
            </w:r>
          </w:p>
          <w:p w:rsidR="005F645C" w:rsidRPr="005F645C" w:rsidRDefault="005F645C" w:rsidP="00124486">
            <w:pPr>
              <w:ind w:left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5F645C" w:rsidRPr="00124486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3º La entidad debe </w:t>
            </w:r>
            <w:r w:rsidRPr="005F645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probar que el daño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por divulgar la información es mayor al daño ocasionado por negarle al público conocer la información. (Exp. Nº 04729-2011-PHD/TC, F.J. 15)</w:t>
            </w:r>
          </w:p>
          <w:p w:rsidR="000F0405" w:rsidRPr="005F645C" w:rsidRDefault="000F0405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F645C" w:rsidRPr="00124486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De allí que, 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si 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 autoridad pública no ha cumplido con justificar su negativa siguiendo los parámetros señalados anteriormente, rige el principio de máxima divulgación </w:t>
            </w:r>
            <w:r w:rsidRPr="001244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(también llamado, de máxima publicidad) </w:t>
            </w:r>
            <w:r w:rsidRPr="005F64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de la información solicitada. </w:t>
            </w:r>
          </w:p>
          <w:p w:rsidR="005F645C" w:rsidRPr="00124486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F645C" w:rsidRPr="00124486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>Sin embargo, cuando acudimos al marco legal para determinar si la información solicitada configura una excepción, vemos que estas no han sido definidas adecuadamente</w:t>
            </w:r>
            <w:r w:rsidR="001655B3" w:rsidRPr="00124486">
              <w:rPr>
                <w:rFonts w:ascii="Arial" w:hAnsi="Arial" w:cs="Arial"/>
                <w:sz w:val="24"/>
                <w:szCs w:val="24"/>
              </w:rPr>
              <w:t xml:space="preserve">, no han sido definidas o han sido definidas pero </w:t>
            </w:r>
            <w:r w:rsidR="000F0405" w:rsidRPr="00124486">
              <w:rPr>
                <w:rFonts w:ascii="Arial" w:hAnsi="Arial" w:cs="Arial"/>
                <w:sz w:val="24"/>
                <w:szCs w:val="24"/>
              </w:rPr>
              <w:t>por</w:t>
            </w:r>
            <w:r w:rsidR="001655B3" w:rsidRPr="00124486">
              <w:rPr>
                <w:rFonts w:ascii="Arial" w:hAnsi="Arial" w:cs="Arial"/>
                <w:sz w:val="24"/>
                <w:szCs w:val="24"/>
              </w:rPr>
              <w:t xml:space="preserve"> normas infralegales, contraviniendo al TUO de la Ley Nº 27806. Como por ejemplo:</w:t>
            </w:r>
          </w:p>
          <w:p w:rsidR="005F645C" w:rsidRPr="00124486" w:rsidRDefault="005F645C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E19FB" w:rsidRPr="00124486" w:rsidRDefault="001655B3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>Secreto bancario: solo se menciona que e</w:t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>l busca garantizar la confidencialidad de las operaciones bancarias que una persona pudiera realizar con cualquier ente del sistema bancario o financiero.</w:t>
            </w:r>
            <w:r w:rsidR="00BE19FB" w:rsidRPr="00124486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1"/>
            </w:r>
          </w:p>
          <w:p w:rsidR="00BE19FB" w:rsidRPr="00124486" w:rsidRDefault="00BE19FB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E19FB" w:rsidRPr="00124486" w:rsidRDefault="001655B3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 xml:space="preserve">Reserva tributaria: </w:t>
            </w:r>
            <w:r w:rsidR="00561534" w:rsidRPr="00124486">
              <w:rPr>
                <w:rFonts w:ascii="Arial" w:hAnsi="Arial" w:cs="Arial"/>
                <w:sz w:val="24"/>
                <w:szCs w:val="24"/>
              </w:rPr>
              <w:t xml:space="preserve">se indica que </w:t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>busca garantizar la confidencialidad de la cuantía y la fuente de las rentas de una persona, así como sus gastos, su base imponible o cualquier otro dato relativo a ellos, cuando estén contenidos en declaraciones e informaciones que obtenga la Administración Tributaria de sus contribuyentes, responsables o terceros.</w:t>
            </w:r>
            <w:r w:rsidR="00BE19FB" w:rsidRPr="00124486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2"/>
            </w:r>
          </w:p>
          <w:p w:rsidR="00BE19FB" w:rsidRPr="00124486" w:rsidRDefault="00BE19FB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E19FB" w:rsidRPr="00124486" w:rsidRDefault="001655B3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>S</w:t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>ecreto comercial, industrial o tecnológico</w:t>
            </w:r>
            <w:r w:rsidR="00561534" w:rsidRPr="00124486">
              <w:rPr>
                <w:rFonts w:ascii="Arial" w:hAnsi="Arial" w:cs="Arial"/>
                <w:sz w:val="24"/>
                <w:szCs w:val="24"/>
              </w:rPr>
              <w:t xml:space="preserve">: se precisa que </w:t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>busca proteger la información usada en alguna actividad productiva, industrial o comercial, que sea susceptible de transmitirse a un tercero y cuya divulgación pueda ocasionar un perjuicio a la empresa. De acuerdo con lo dispuesto en la Decisión  N° 486, que establece el régimen común sobre propiedad industrial de la Comunidad Andina,</w:t>
            </w:r>
            <w:r w:rsidR="00BE19FB" w:rsidRPr="00124486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3"/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 xml:space="preserve"> esta información debe ser: </w:t>
            </w:r>
          </w:p>
          <w:p w:rsidR="00BE19FB" w:rsidRPr="00124486" w:rsidRDefault="00BE19FB" w:rsidP="00124486">
            <w:pPr>
              <w:tabs>
                <w:tab w:val="left" w:pos="73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ab/>
            </w:r>
          </w:p>
          <w:p w:rsidR="00BE19FB" w:rsidRPr="00124486" w:rsidRDefault="00BE19FB" w:rsidP="00124486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 xml:space="preserve">Secreta, en el sentido que como conjunto o en la configuración y </w:t>
            </w:r>
            <w:r w:rsidRPr="00124486">
              <w:rPr>
                <w:rFonts w:ascii="Arial" w:hAnsi="Arial" w:cs="Arial"/>
                <w:sz w:val="24"/>
                <w:szCs w:val="24"/>
              </w:rPr>
              <w:lastRenderedPageBreak/>
              <w:t>reunión precisa de sus componentes, no sea generalmente conocida ni fácilmente accesible por quienes se encuentran en los círculos que normalmente manejan la información respectiva;</w:t>
            </w:r>
          </w:p>
          <w:p w:rsidR="00BE19FB" w:rsidRPr="00124486" w:rsidRDefault="00BE19FB" w:rsidP="00124486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E19FB" w:rsidRPr="00124486" w:rsidRDefault="00BE19FB" w:rsidP="00124486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>Tener un valor comercial por ser secreta; y</w:t>
            </w:r>
          </w:p>
          <w:p w:rsidR="00BE19FB" w:rsidRPr="00124486" w:rsidRDefault="00BE19FB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E19FB" w:rsidRPr="00124486" w:rsidRDefault="00BE19FB" w:rsidP="00124486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>Haber sido objeto de medidas razonables tomadas por su legítimo poseedor para mantenerla secreta.</w:t>
            </w:r>
          </w:p>
          <w:p w:rsidR="00BE19FB" w:rsidRPr="00124486" w:rsidRDefault="00BE19FB" w:rsidP="00124486">
            <w:pPr>
              <w:pStyle w:val="Prrafodelista"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E19FB" w:rsidRPr="00124486" w:rsidRDefault="001655B3" w:rsidP="00124486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4"/>
                <w:szCs w:val="24"/>
                <w:lang w:val="es-ES_tradnl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 xml:space="preserve">Secreto empresarial: </w:t>
            </w:r>
            <w:r w:rsidR="00561534" w:rsidRPr="00124486">
              <w:rPr>
                <w:rFonts w:ascii="Arial" w:hAnsi="Arial" w:cs="Arial"/>
                <w:sz w:val="24"/>
                <w:szCs w:val="24"/>
              </w:rPr>
              <w:t xml:space="preserve">se dice que </w:t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>podrá estar referida a la naturaleza, características o finalidades de los productos; a los métodos o procesos de producción; o, a los medios o formas de distribución o comercialización de prod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uctos o prestación de servicios </w:t>
            </w:r>
            <w:r w:rsidRPr="00124486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(artículo </w:t>
            </w:r>
            <w:r w:rsidR="00BE19FB" w:rsidRPr="00124486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140° Decisión N° 486, Régimen Común sobre Propiedad Industrial)</w:t>
            </w:r>
          </w:p>
          <w:p w:rsidR="00BE19FB" w:rsidRPr="00124486" w:rsidRDefault="00BE19FB" w:rsidP="00124486">
            <w:pPr>
              <w:pStyle w:val="Prrafodelista"/>
              <w:ind w:left="7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6764B" w:rsidRPr="00124486" w:rsidRDefault="001655B3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>S</w:t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>ecreto bursátil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61534" w:rsidRPr="00124486">
              <w:rPr>
                <w:rFonts w:ascii="Arial" w:hAnsi="Arial" w:cs="Arial"/>
                <w:sz w:val="24"/>
                <w:szCs w:val="24"/>
              </w:rPr>
              <w:t xml:space="preserve">se establece que </w:t>
            </w:r>
            <w:r w:rsidR="00BE19FB" w:rsidRPr="00124486">
              <w:rPr>
                <w:rFonts w:ascii="Arial" w:hAnsi="Arial" w:cs="Arial"/>
                <w:sz w:val="24"/>
                <w:szCs w:val="24"/>
              </w:rPr>
              <w:t>garantiza la protección de la información sobre los compradores o vendedores de los valores transados en bolsa o en otros mecanismos centralizado</w:t>
            </w:r>
            <w:r w:rsidRPr="0012448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E19FB" w:rsidRPr="00124486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(</w:t>
            </w:r>
            <w:r w:rsidRPr="00124486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artículo </w:t>
            </w:r>
            <w:r w:rsidR="00BE19FB" w:rsidRPr="00124486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45° de la Ley del Mercado de Valores)</w:t>
            </w:r>
            <w:r w:rsidRPr="00124486">
              <w:rPr>
                <w:rStyle w:val="Refdenotaalpie"/>
                <w:rFonts w:ascii="Arial" w:hAnsi="Arial" w:cs="Arial"/>
                <w:sz w:val="24"/>
                <w:szCs w:val="24"/>
              </w:rPr>
              <w:t xml:space="preserve"> </w:t>
            </w:r>
            <w:r w:rsidRPr="00124486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4"/>
            </w:r>
          </w:p>
          <w:p w:rsidR="00E556D0" w:rsidRPr="00124486" w:rsidRDefault="00E556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556D0" w:rsidRPr="00124486" w:rsidRDefault="004B3A1E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24486">
              <w:rPr>
                <w:rFonts w:ascii="Arial" w:hAnsi="Arial" w:cs="Arial"/>
                <w:sz w:val="24"/>
                <w:szCs w:val="24"/>
              </w:rPr>
              <w:t xml:space="preserve">Cabe recordar que, </w:t>
            </w:r>
            <w:r w:rsidR="00E556D0" w:rsidRPr="00124486">
              <w:rPr>
                <w:rFonts w:ascii="Arial" w:hAnsi="Arial" w:cs="Arial"/>
                <w:sz w:val="24"/>
                <w:szCs w:val="24"/>
              </w:rPr>
              <w:t>para establecer adecuadamente excepciones al derecho de acceso a la información públicas, estas deben cumplir con lo siguiente</w:t>
            </w:r>
            <w:r w:rsidR="00E556D0" w:rsidRPr="00124486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5"/>
            </w:r>
            <w:r w:rsidR="00E556D0" w:rsidRPr="0012448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556D0" w:rsidRPr="00124486" w:rsidRDefault="00E556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E556D0" w:rsidRPr="00124486" w:rsidRDefault="00E556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1.- Contenida de manera expresa </w:t>
            </w:r>
            <w:r w:rsidRPr="0012448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en una ley</w:t>
            </w:r>
          </w:p>
          <w:p w:rsidR="00E556D0" w:rsidRPr="00124486" w:rsidRDefault="00E556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2.- Perseguir un </w:t>
            </w:r>
            <w:r w:rsidRPr="0012448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fin legítimo </w:t>
            </w:r>
          </w:p>
          <w:p w:rsidR="00E556D0" w:rsidRPr="00124486" w:rsidRDefault="00E556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3.- Ser </w:t>
            </w:r>
            <w:r w:rsidRPr="0012448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necesaria y proporcionada </w:t>
            </w: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>en una sociedad democrática</w:t>
            </w:r>
            <w:r w:rsidRPr="00124486">
              <w:rPr>
                <w:rFonts w:ascii="Arial" w:eastAsia="Times New Roman" w:hAnsi="Arial" w:cs="Arial"/>
                <w:iCs/>
                <w:sz w:val="24"/>
                <w:szCs w:val="24"/>
                <w:lang w:val="es-PE"/>
              </w:rPr>
              <w:t xml:space="preserve"> </w:t>
            </w:r>
          </w:p>
          <w:p w:rsidR="00E556D0" w:rsidRPr="00124486" w:rsidRDefault="00E556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9E2A68" w:rsidRPr="00124486" w:rsidTr="0001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 xml:space="preserve">Áreas de oportunidad </w:t>
            </w:r>
          </w:p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(¿Qué hace falta para mejorar el derecho de acceso en el tema a discusión? – Nuevos Retos)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F645C" w:rsidRPr="00124486" w:rsidRDefault="005F645C" w:rsidP="00124486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PE"/>
              </w:rPr>
            </w:pPr>
          </w:p>
          <w:p w:rsidR="00236F2C" w:rsidRPr="00124486" w:rsidRDefault="0046764B" w:rsidP="00124486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PE"/>
              </w:rPr>
            </w:pP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236F2C" w:rsidRPr="00124486">
              <w:rPr>
                <w:rFonts w:ascii="Arial" w:hAnsi="Arial" w:cs="Arial"/>
                <w:sz w:val="24"/>
                <w:szCs w:val="24"/>
                <w:lang w:val="es-PE"/>
              </w:rPr>
              <w:t>D</w:t>
            </w:r>
            <w:r w:rsidR="00236F2C" w:rsidRPr="00124486">
              <w:rPr>
                <w:rFonts w:ascii="Arial" w:hAnsi="Arial" w:cs="Arial"/>
                <w:sz w:val="24"/>
                <w:szCs w:val="24"/>
              </w:rPr>
              <w:t>esarrollar pautas para definir qué y cómo se configuran los diversos derechos económicos y/o comerciales, y cuándo se realiza un ejercicio legítimo o regular de esta limitación.</w:t>
            </w:r>
          </w:p>
          <w:p w:rsidR="000D726F" w:rsidRPr="00124486" w:rsidRDefault="000D726F" w:rsidP="00124486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PE"/>
              </w:rPr>
            </w:pPr>
          </w:p>
          <w:p w:rsidR="009E2A68" w:rsidRPr="00124486" w:rsidRDefault="00236F2C" w:rsidP="00124486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PE"/>
              </w:rPr>
            </w:pPr>
            <w:r w:rsidRPr="00124486">
              <w:rPr>
                <w:rFonts w:ascii="Arial" w:eastAsia="Times New Roman" w:hAnsi="Arial" w:cs="Arial"/>
                <w:iCs/>
                <w:sz w:val="24"/>
                <w:szCs w:val="24"/>
                <w:lang w:val="es-PE"/>
              </w:rPr>
              <w:t>Determinar la pertinencia de que estos criterios sean incorporados en las legislaciones sobre transparencia y acceso a la información de los países integrantes de la RTA.</w:t>
            </w:r>
          </w:p>
          <w:p w:rsidR="00CB24D0" w:rsidRPr="00124486" w:rsidRDefault="00CB24D0" w:rsidP="00124486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PE"/>
              </w:rPr>
            </w:pPr>
          </w:p>
        </w:tc>
      </w:tr>
      <w:tr w:rsidR="009E2A68" w:rsidRPr="00124486" w:rsidTr="00011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Precedentes o criterios</w:t>
            </w:r>
          </w:p>
          <w:p w:rsidR="009E2A68" w:rsidRPr="00124486" w:rsidRDefault="009E2A68" w:rsidP="00124486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(Cómo se ha </w:t>
            </w: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>resuelto el tema en su país o Institución)</w:t>
            </w:r>
          </w:p>
        </w:tc>
        <w:tc>
          <w:tcPr>
            <w:tcW w:w="3834" w:type="pct"/>
            <w:vAlign w:val="center"/>
          </w:tcPr>
          <w:p w:rsidR="00CB24D0" w:rsidRPr="00124486" w:rsidRDefault="00CB24D0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0C3B7E" w:rsidRPr="00124486" w:rsidRDefault="00D60911" w:rsidP="001244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A la fecha, </w:t>
            </w:r>
            <w:r w:rsidR="00CB24D0"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>el Tr</w:t>
            </w:r>
            <w:r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ibunal Constitucional </w:t>
            </w:r>
            <w:r w:rsidR="00CB24D0"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ha emitido pocas sentencias sobre el tema. Al respecto, podemos destacar la recaída en el </w:t>
            </w:r>
            <w:r w:rsidR="00CB24D0" w:rsidRPr="00124486">
              <w:rPr>
                <w:rFonts w:ascii="Arial" w:hAnsi="Arial" w:cs="Arial"/>
                <w:sz w:val="24"/>
                <w:szCs w:val="24"/>
              </w:rPr>
              <w:t>Expediente N° 04407-</w:t>
            </w:r>
            <w:r w:rsidR="00CB24D0" w:rsidRPr="00124486">
              <w:rPr>
                <w:rFonts w:ascii="Arial" w:hAnsi="Arial" w:cs="Arial"/>
                <w:sz w:val="24"/>
                <w:szCs w:val="24"/>
              </w:rPr>
              <w:lastRenderedPageBreak/>
              <w:t xml:space="preserve">2007-PHD/TC, </w:t>
            </w:r>
            <w:r w:rsidR="00CB24D0" w:rsidRPr="0012448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en donde indicó que </w:t>
            </w:r>
            <w:r w:rsidR="000C3B7E" w:rsidRPr="00124486">
              <w:rPr>
                <w:rFonts w:ascii="Arial" w:hAnsi="Arial" w:cs="Arial"/>
                <w:bCs/>
                <w:sz w:val="24"/>
                <w:szCs w:val="24"/>
                <w:lang w:val="es-MX"/>
              </w:rPr>
              <w:t>no es información confidencial protegida por el secreto bancario y, por ende</w:t>
            </w:r>
            <w:r w:rsidR="00DA31EF">
              <w:rPr>
                <w:rFonts w:ascii="Arial" w:hAnsi="Arial" w:cs="Arial"/>
                <w:bCs/>
                <w:sz w:val="24"/>
                <w:szCs w:val="24"/>
                <w:lang w:val="es-MX"/>
              </w:rPr>
              <w:t>,</w:t>
            </w:r>
            <w:r w:rsidR="000C3B7E" w:rsidRPr="00124486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pública:</w:t>
            </w:r>
          </w:p>
          <w:p w:rsidR="000C3B7E" w:rsidRPr="00124486" w:rsidRDefault="000C3B7E" w:rsidP="00124486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:rsidR="000C3B7E" w:rsidRPr="00124486" w:rsidRDefault="000C3B7E" w:rsidP="00124486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124486">
              <w:rPr>
                <w:rFonts w:ascii="Arial" w:hAnsi="Arial" w:cs="Arial"/>
                <w:bCs/>
                <w:sz w:val="24"/>
                <w:szCs w:val="24"/>
                <w:lang w:val="es-MX"/>
              </w:rPr>
              <w:t>La declaración jurada de bienes, rentas e ingresos de funcionarios públicos del Estado relativa a todos aquellos ingresos provenientes del sector público y los bienes (muebles e inmuebles) registrales, contenida en la sección primera de dicha declaración jurada.</w:t>
            </w:r>
          </w:p>
          <w:p w:rsidR="000C3B7E" w:rsidRPr="00124486" w:rsidRDefault="000C3B7E" w:rsidP="00124486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3B7E" w:rsidRPr="00124486" w:rsidRDefault="000C3B7E" w:rsidP="00124486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12448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CB24D0" w:rsidRPr="00124486">
              <w:rPr>
                <w:rFonts w:ascii="Arial" w:hAnsi="Arial" w:cs="Arial"/>
                <w:bCs/>
                <w:sz w:val="24"/>
                <w:szCs w:val="24"/>
              </w:rPr>
              <w:t>n el caso, e</w:t>
            </w:r>
            <w:r w:rsidRPr="00124486">
              <w:rPr>
                <w:rFonts w:ascii="Arial" w:hAnsi="Arial" w:cs="Arial"/>
                <w:bCs/>
                <w:sz w:val="24"/>
                <w:szCs w:val="24"/>
              </w:rPr>
              <w:t>ste documento fue denegado por el Ministerio de Transportes y Comunicaciones alegando que se trataba de información confidencial, de acuerdo con lo dispuesto en el artículo 15° del Decreto Supremo N° 080-2001-PCM, que regula la publicación de la declaraciones juradas de funcionarios del Estado. Al respecto, el Tribunal Constitucional sostuvo que:</w:t>
            </w:r>
          </w:p>
          <w:p w:rsidR="000C3B7E" w:rsidRPr="00124486" w:rsidRDefault="000C3B7E" w:rsidP="00124486">
            <w:pPr>
              <w:tabs>
                <w:tab w:val="left" w:pos="284"/>
              </w:tabs>
              <w:ind w:left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C3B7E" w:rsidRPr="00E735B5" w:rsidRDefault="000C3B7E" w:rsidP="00124486">
            <w:pPr>
              <w:tabs>
                <w:tab w:val="left" w:pos="284"/>
              </w:tabs>
              <w:ind w:left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5B5">
              <w:rPr>
                <w:rFonts w:ascii="Arial" w:hAnsi="Arial" w:cs="Arial"/>
              </w:rPr>
              <w:t>Con relación a la información detallada de los bienes muebles e inmuebles de los funcionarios y servidores públicos, este Colegiado considera que, en tanto estos bienes pueden ser registrados y consecuentemente, dicha información goza de publicidad registral y puede ser obtenida mediante dichos mecanismos; la disposición al público de dicho extremo de la sección primera de las declaraciones juradas tampoco constituye una lesión al derecho fundamental a la intimidad personal. […]</w:t>
            </w:r>
          </w:p>
          <w:p w:rsidR="000C3B7E" w:rsidRPr="00E735B5" w:rsidRDefault="000C3B7E" w:rsidP="00124486">
            <w:pPr>
              <w:tabs>
                <w:tab w:val="left" w:pos="284"/>
              </w:tabs>
              <w:ind w:left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C3B7E" w:rsidRPr="00E735B5" w:rsidRDefault="000C3B7E" w:rsidP="00124486">
            <w:pPr>
              <w:tabs>
                <w:tab w:val="left" w:pos="284"/>
              </w:tabs>
              <w:ind w:left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5B5">
              <w:rPr>
                <w:rFonts w:ascii="Arial" w:hAnsi="Arial" w:cs="Arial"/>
              </w:rPr>
              <w:t>[…] Situación similar se produce respecto de los ingresos y bienes provenientes del sector público que deberá declarar el funcionario o servidor público, ya que dicha información debe ser de posible acceso a través de los portales de transparencia de la entidad responsable, información que deberá ser completa y actualizada. Así pues, este Colegiado considera que en lo relativo a la difusión de todos aquellos bienes e ingresos provenientes del sector público, no se afectaría el derecho constitucional a la intimidad personal.</w:t>
            </w:r>
            <w:r w:rsidRPr="00E735B5">
              <w:rPr>
                <w:rStyle w:val="Refdenotaalpie"/>
                <w:rFonts w:ascii="Arial" w:hAnsi="Arial" w:cs="Arial"/>
              </w:rPr>
              <w:footnoteReference w:id="6"/>
            </w:r>
          </w:p>
          <w:p w:rsidR="005F645C" w:rsidRPr="00124486" w:rsidRDefault="005F645C" w:rsidP="00124486">
            <w:pPr>
              <w:tabs>
                <w:tab w:val="left" w:pos="284"/>
              </w:tabs>
              <w:ind w:left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:rsidR="004B612B" w:rsidRPr="00124486" w:rsidRDefault="004B612B" w:rsidP="001244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1FB" w:rsidRPr="00124486" w:rsidRDefault="00E131FB" w:rsidP="001244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24486">
        <w:rPr>
          <w:rFonts w:ascii="Arial" w:hAnsi="Arial" w:cs="Arial"/>
          <w:b/>
          <w:smallCaps/>
          <w:sz w:val="24"/>
          <w:szCs w:val="24"/>
        </w:rPr>
        <w:t>Procedimiento para las conclusiones</w:t>
      </w:r>
      <w:r w:rsidR="0033282F" w:rsidRPr="00124486">
        <w:rPr>
          <w:rFonts w:ascii="Arial" w:hAnsi="Arial" w:cs="Arial"/>
          <w:b/>
          <w:smallCaps/>
          <w:sz w:val="24"/>
          <w:szCs w:val="24"/>
        </w:rPr>
        <w:t>:</w:t>
      </w:r>
    </w:p>
    <w:p w:rsidR="00882082" w:rsidRPr="00124486" w:rsidRDefault="00882082" w:rsidP="001244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2082" w:rsidRPr="00124486" w:rsidRDefault="00882082" w:rsidP="001244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486">
        <w:rPr>
          <w:rFonts w:ascii="Arial" w:hAnsi="Arial" w:cs="Arial"/>
          <w:sz w:val="24"/>
          <w:szCs w:val="24"/>
        </w:rPr>
        <w:t xml:space="preserve">Una vez que se tenga la información </w:t>
      </w:r>
      <w:r w:rsidR="00F617EE" w:rsidRPr="00124486">
        <w:rPr>
          <w:rFonts w:ascii="Arial" w:hAnsi="Arial" w:cs="Arial"/>
          <w:sz w:val="24"/>
          <w:szCs w:val="24"/>
        </w:rPr>
        <w:t>de todos los países</w:t>
      </w:r>
      <w:r w:rsidR="00097BDE" w:rsidRPr="00124486">
        <w:rPr>
          <w:rFonts w:ascii="Arial" w:hAnsi="Arial" w:cs="Arial"/>
          <w:sz w:val="24"/>
          <w:szCs w:val="24"/>
        </w:rPr>
        <w:t xml:space="preserve">, </w:t>
      </w:r>
      <w:r w:rsidRPr="00124486">
        <w:rPr>
          <w:rFonts w:ascii="Arial" w:hAnsi="Arial" w:cs="Arial"/>
          <w:sz w:val="24"/>
          <w:szCs w:val="24"/>
        </w:rPr>
        <w:t xml:space="preserve">cada </w:t>
      </w:r>
      <w:r w:rsidR="00097BDE" w:rsidRPr="00124486">
        <w:rPr>
          <w:rFonts w:ascii="Arial" w:hAnsi="Arial" w:cs="Arial"/>
          <w:sz w:val="24"/>
          <w:szCs w:val="24"/>
        </w:rPr>
        <w:t>uno de ellos</w:t>
      </w:r>
      <w:r w:rsidRPr="00124486">
        <w:rPr>
          <w:rFonts w:ascii="Arial" w:hAnsi="Arial" w:cs="Arial"/>
          <w:sz w:val="24"/>
          <w:szCs w:val="24"/>
        </w:rPr>
        <w:t xml:space="preserve"> deberá emitir sus propias conclusiones y proponer una conclusión general para el Grupo</w:t>
      </w:r>
      <w:r w:rsidR="00F617EE" w:rsidRPr="00124486">
        <w:rPr>
          <w:rFonts w:ascii="Arial" w:hAnsi="Arial" w:cs="Arial"/>
          <w:sz w:val="24"/>
          <w:szCs w:val="24"/>
        </w:rPr>
        <w:t xml:space="preserve"> de Jurisprudencia </w:t>
      </w:r>
      <w:r w:rsidR="0055506D" w:rsidRPr="00124486">
        <w:rPr>
          <w:rFonts w:ascii="Arial" w:hAnsi="Arial" w:cs="Arial"/>
          <w:sz w:val="24"/>
          <w:szCs w:val="24"/>
        </w:rPr>
        <w:t>y Criterios Administrativos</w:t>
      </w:r>
      <w:r w:rsidRPr="00124486">
        <w:rPr>
          <w:rFonts w:ascii="Arial" w:hAnsi="Arial" w:cs="Arial"/>
          <w:sz w:val="24"/>
          <w:szCs w:val="24"/>
        </w:rPr>
        <w:t>.</w:t>
      </w:r>
    </w:p>
    <w:p w:rsidR="00882082" w:rsidRPr="00124486" w:rsidRDefault="00882082" w:rsidP="001244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082" w:rsidRPr="00124486" w:rsidRDefault="0055506D" w:rsidP="001244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486">
        <w:rPr>
          <w:rFonts w:ascii="Arial" w:hAnsi="Arial" w:cs="Arial"/>
          <w:sz w:val="24"/>
          <w:szCs w:val="24"/>
        </w:rPr>
        <w:t>E</w:t>
      </w:r>
      <w:r w:rsidR="00097BDE" w:rsidRPr="00124486">
        <w:rPr>
          <w:rFonts w:ascii="Arial" w:hAnsi="Arial" w:cs="Arial"/>
          <w:sz w:val="24"/>
          <w:szCs w:val="24"/>
        </w:rPr>
        <w:t>l INAI</w:t>
      </w:r>
      <w:r w:rsidR="00882082" w:rsidRPr="00124486">
        <w:rPr>
          <w:rFonts w:ascii="Arial" w:hAnsi="Arial" w:cs="Arial"/>
          <w:sz w:val="24"/>
          <w:szCs w:val="24"/>
        </w:rPr>
        <w:t xml:space="preserve">, </w:t>
      </w:r>
      <w:r w:rsidRPr="00124486">
        <w:rPr>
          <w:rFonts w:ascii="Arial" w:hAnsi="Arial" w:cs="Arial"/>
          <w:sz w:val="24"/>
          <w:szCs w:val="24"/>
        </w:rPr>
        <w:t>como moderador del Debate,</w:t>
      </w:r>
      <w:r w:rsidR="00882082" w:rsidRPr="00124486">
        <w:rPr>
          <w:rFonts w:ascii="Arial" w:hAnsi="Arial" w:cs="Arial"/>
          <w:sz w:val="24"/>
          <w:szCs w:val="24"/>
        </w:rPr>
        <w:t xml:space="preserve"> elaborará un análisis de todas las propuestas y emitirá un criterio </w:t>
      </w:r>
      <w:r w:rsidR="00F617EE" w:rsidRPr="00124486">
        <w:rPr>
          <w:rFonts w:ascii="Arial" w:hAnsi="Arial" w:cs="Arial"/>
          <w:sz w:val="24"/>
          <w:szCs w:val="24"/>
        </w:rPr>
        <w:t xml:space="preserve">único </w:t>
      </w:r>
      <w:r w:rsidR="00882082" w:rsidRPr="00124486">
        <w:rPr>
          <w:rFonts w:ascii="Arial" w:hAnsi="Arial" w:cs="Arial"/>
          <w:sz w:val="24"/>
          <w:szCs w:val="24"/>
        </w:rPr>
        <w:t xml:space="preserve">que enviará </w:t>
      </w:r>
      <w:r w:rsidRPr="00124486">
        <w:rPr>
          <w:rFonts w:ascii="Arial" w:hAnsi="Arial" w:cs="Arial"/>
          <w:sz w:val="24"/>
          <w:szCs w:val="24"/>
        </w:rPr>
        <w:t>a consideración de</w:t>
      </w:r>
      <w:r w:rsidR="00882082" w:rsidRPr="00124486">
        <w:rPr>
          <w:rFonts w:ascii="Arial" w:hAnsi="Arial" w:cs="Arial"/>
          <w:sz w:val="24"/>
          <w:szCs w:val="24"/>
        </w:rPr>
        <w:t xml:space="preserve"> los países miembros para </w:t>
      </w:r>
      <w:r w:rsidR="005E04AA" w:rsidRPr="00124486">
        <w:rPr>
          <w:rFonts w:ascii="Arial" w:hAnsi="Arial" w:cs="Arial"/>
          <w:sz w:val="24"/>
          <w:szCs w:val="24"/>
        </w:rPr>
        <w:t xml:space="preserve">reflejar la posición que tiene el grupo en </w:t>
      </w:r>
      <w:r w:rsidRPr="00124486">
        <w:rPr>
          <w:rFonts w:ascii="Arial" w:hAnsi="Arial" w:cs="Arial"/>
          <w:sz w:val="24"/>
          <w:szCs w:val="24"/>
        </w:rPr>
        <w:t>el</w:t>
      </w:r>
      <w:r w:rsidR="005E04AA" w:rsidRPr="00124486">
        <w:rPr>
          <w:rFonts w:ascii="Arial" w:hAnsi="Arial" w:cs="Arial"/>
          <w:sz w:val="24"/>
          <w:szCs w:val="24"/>
        </w:rPr>
        <w:t xml:space="preserve"> tema</w:t>
      </w:r>
      <w:r w:rsidR="00882082" w:rsidRPr="00124486">
        <w:rPr>
          <w:rFonts w:ascii="Arial" w:hAnsi="Arial" w:cs="Arial"/>
          <w:sz w:val="24"/>
          <w:szCs w:val="24"/>
        </w:rPr>
        <w:t xml:space="preserve">. </w:t>
      </w:r>
    </w:p>
    <w:p w:rsidR="0033282F" w:rsidRPr="00124486" w:rsidRDefault="0033282F" w:rsidP="0012448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tbl>
      <w:tblPr>
        <w:tblStyle w:val="Listaclara-nfasis2"/>
        <w:tblW w:w="5000" w:type="pct"/>
        <w:tblLook w:val="04A0" w:firstRow="1" w:lastRow="0" w:firstColumn="1" w:lastColumn="0" w:noHBand="0" w:noVBand="1"/>
      </w:tblPr>
      <w:tblGrid>
        <w:gridCol w:w="2569"/>
        <w:gridCol w:w="8447"/>
      </w:tblGrid>
      <w:tr w:rsidR="00882082" w:rsidRPr="00124486" w:rsidTr="00E10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E5B8B7" w:themeColor="accent2" w:themeTint="66"/>
            </w:tcBorders>
            <w:vAlign w:val="center"/>
          </w:tcPr>
          <w:p w:rsidR="00882082" w:rsidRPr="00124486" w:rsidRDefault="00882082" w:rsidP="0012448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z w:val="24"/>
                <w:szCs w:val="24"/>
                <w:lang w:val="es-MX"/>
              </w:rPr>
              <w:lastRenderedPageBreak/>
              <w:t>“</w:t>
            </w:r>
            <w:r w:rsidR="006537AD" w:rsidRPr="00124486">
              <w:rPr>
                <w:rFonts w:ascii="Arial" w:eastAsia="Times New Roman" w:hAnsi="Arial" w:cs="Arial"/>
                <w:iCs/>
                <w:smallCaps/>
                <w:sz w:val="24"/>
                <w:szCs w:val="24"/>
              </w:rPr>
              <w:t>Afectación de derechos económicos y comerciales de terceros por la entrega de información pública ¿corresponde, o es conveniente, bilateralizar el trámite?</w:t>
            </w:r>
            <w:r w:rsidRPr="00124486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” </w:t>
            </w:r>
          </w:p>
        </w:tc>
      </w:tr>
      <w:tr w:rsidR="00882082" w:rsidRPr="00124486" w:rsidTr="0065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:rsidR="00882082" w:rsidRPr="00124486" w:rsidRDefault="00F617EE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Conclusiones por País</w:t>
            </w:r>
          </w:p>
        </w:tc>
        <w:tc>
          <w:tcPr>
            <w:tcW w:w="3834" w:type="pct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:rsidR="00882082" w:rsidRPr="00124486" w:rsidRDefault="00882082" w:rsidP="001244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82082" w:rsidRPr="00124486" w:rsidTr="00653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:rsidR="00F617EE" w:rsidRPr="00124486" w:rsidRDefault="00F617EE" w:rsidP="00124486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Criterio Propuesto</w:t>
            </w:r>
          </w:p>
          <w:p w:rsidR="00882082" w:rsidRPr="00124486" w:rsidRDefault="00F617EE" w:rsidP="00124486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124486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(Conclusión para el Grupo)</w:t>
            </w:r>
          </w:p>
        </w:tc>
        <w:tc>
          <w:tcPr>
            <w:tcW w:w="3834" w:type="pct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:rsidR="00882082" w:rsidRPr="00124486" w:rsidRDefault="00882082" w:rsidP="001244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:rsidR="00E131FB" w:rsidRPr="00124486" w:rsidRDefault="00E131FB" w:rsidP="001244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131FB" w:rsidRPr="00124486" w:rsidSect="006720BA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DB" w:rsidRDefault="00BC0ADB" w:rsidP="009E2A68">
      <w:pPr>
        <w:spacing w:after="0" w:line="240" w:lineRule="auto"/>
      </w:pPr>
      <w:r>
        <w:separator/>
      </w:r>
    </w:p>
  </w:endnote>
  <w:endnote w:type="continuationSeparator" w:id="0">
    <w:p w:rsidR="00BC0ADB" w:rsidRDefault="00BC0ADB" w:rsidP="009E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347255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24D0" w:rsidRPr="00FF5C3C" w:rsidRDefault="00CB24D0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F5C3C">
              <w:rPr>
                <w:rFonts w:ascii="Arial" w:hAnsi="Arial" w:cs="Arial"/>
                <w:sz w:val="18"/>
              </w:rPr>
              <w:t xml:space="preserve">Página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03F81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F5C3C">
              <w:rPr>
                <w:rFonts w:ascii="Arial" w:hAnsi="Arial" w:cs="Arial"/>
                <w:sz w:val="18"/>
              </w:rPr>
              <w:t xml:space="preserve"> de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03F81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B24D0" w:rsidRPr="00FF5C3C" w:rsidRDefault="00CB24D0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DB" w:rsidRDefault="00BC0ADB" w:rsidP="009E2A68">
      <w:pPr>
        <w:spacing w:after="0" w:line="240" w:lineRule="auto"/>
      </w:pPr>
      <w:r>
        <w:separator/>
      </w:r>
    </w:p>
  </w:footnote>
  <w:footnote w:type="continuationSeparator" w:id="0">
    <w:p w:rsidR="00BC0ADB" w:rsidRDefault="00BC0ADB" w:rsidP="009E2A68">
      <w:pPr>
        <w:spacing w:after="0" w:line="240" w:lineRule="auto"/>
      </w:pPr>
      <w:r>
        <w:continuationSeparator/>
      </w:r>
    </w:p>
  </w:footnote>
  <w:footnote w:id="1">
    <w:p w:rsidR="00CB24D0" w:rsidRPr="00E556D0" w:rsidRDefault="00CB24D0" w:rsidP="00E556D0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E556D0">
        <w:rPr>
          <w:rStyle w:val="Refdenotaalpie"/>
          <w:rFonts w:ascii="Arial" w:hAnsi="Arial" w:cs="Arial"/>
          <w:sz w:val="18"/>
          <w:szCs w:val="18"/>
        </w:rPr>
        <w:footnoteRef/>
      </w:r>
      <w:r w:rsidRPr="00E556D0">
        <w:rPr>
          <w:rFonts w:ascii="Arial" w:hAnsi="Arial" w:cs="Arial"/>
          <w:sz w:val="18"/>
          <w:szCs w:val="18"/>
        </w:rPr>
        <w:t xml:space="preserve"> Artículo 140 de la Ley General del Sistema Financiero y del Sistema de Seguros y Orgánica de la Superintendencia de Banca y Seguros, Ley N° 26702. Ver también: CFR. TRIBUNAL CONSTITUCIONAL, sentencias recaída en el Expediente N° 1219-2003-HD/TC y en el Expediente N° 04407-2007-PHD/TC.</w:t>
      </w:r>
    </w:p>
  </w:footnote>
  <w:footnote w:id="2">
    <w:p w:rsidR="00CB24D0" w:rsidRPr="00E556D0" w:rsidRDefault="00CB24D0" w:rsidP="00E556D0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E556D0">
        <w:rPr>
          <w:rStyle w:val="Refdenotaalpie"/>
          <w:rFonts w:ascii="Arial" w:hAnsi="Arial" w:cs="Arial"/>
          <w:sz w:val="18"/>
          <w:szCs w:val="18"/>
        </w:rPr>
        <w:footnoteRef/>
      </w:r>
      <w:r w:rsidRPr="00E556D0">
        <w:rPr>
          <w:rFonts w:ascii="Arial" w:hAnsi="Arial" w:cs="Arial"/>
          <w:sz w:val="18"/>
          <w:szCs w:val="18"/>
        </w:rPr>
        <w:t xml:space="preserve"> Artículo 85° del Código Tributario.</w:t>
      </w:r>
    </w:p>
  </w:footnote>
  <w:footnote w:id="3">
    <w:p w:rsidR="00CB24D0" w:rsidRPr="00E556D0" w:rsidRDefault="00CB24D0" w:rsidP="00E556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56D0">
        <w:rPr>
          <w:rStyle w:val="Refdenotaalpie"/>
          <w:rFonts w:ascii="Arial" w:hAnsi="Arial" w:cs="Arial"/>
          <w:sz w:val="18"/>
          <w:szCs w:val="18"/>
        </w:rPr>
        <w:footnoteRef/>
      </w:r>
      <w:r w:rsidRPr="00E556D0">
        <w:rPr>
          <w:rFonts w:ascii="Arial" w:hAnsi="Arial" w:cs="Arial"/>
          <w:sz w:val="18"/>
          <w:szCs w:val="18"/>
        </w:rPr>
        <w:t xml:space="preserve"> Decisión N° 486. Régimen Común sobre Propiedad Industrial. Artículo 260. Es importante señalar que el Decreto Legislativo N° 1031, Decreto Legislativo que promueve la eficiencia de la actividad empresarial del Estado, también desarrolla en concepto de secreto comercial en su Quinta disposición complementaria, transitoria y modificatoria.</w:t>
      </w:r>
    </w:p>
  </w:footnote>
  <w:footnote w:id="4">
    <w:p w:rsidR="001655B3" w:rsidRPr="00E556D0" w:rsidRDefault="001655B3" w:rsidP="00E556D0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E556D0">
        <w:rPr>
          <w:rStyle w:val="Refdenotaalpie"/>
          <w:rFonts w:ascii="Arial" w:hAnsi="Arial" w:cs="Arial"/>
          <w:sz w:val="18"/>
          <w:szCs w:val="18"/>
        </w:rPr>
        <w:footnoteRef/>
      </w:r>
      <w:r w:rsidRPr="00E556D0">
        <w:rPr>
          <w:rFonts w:ascii="Arial" w:hAnsi="Arial" w:cs="Arial"/>
          <w:bCs/>
          <w:sz w:val="18"/>
          <w:szCs w:val="18"/>
          <w:lang w:val="es-ES_tradnl"/>
        </w:rPr>
        <w:t xml:space="preserve"> Artículo 45° de la Ley del Mercado de Valores. Decreto Legislativo N° 861</w:t>
      </w:r>
    </w:p>
  </w:footnote>
  <w:footnote w:id="5">
    <w:p w:rsidR="00E556D0" w:rsidRPr="00E556D0" w:rsidRDefault="00E556D0" w:rsidP="00E556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56D0">
        <w:rPr>
          <w:rStyle w:val="Refdenotaalpie"/>
          <w:rFonts w:ascii="Arial" w:hAnsi="Arial" w:cs="Arial"/>
          <w:sz w:val="18"/>
          <w:szCs w:val="18"/>
        </w:rPr>
        <w:footnoteRef/>
      </w:r>
      <w:r w:rsidRPr="00E556D0">
        <w:rPr>
          <w:rFonts w:ascii="Arial" w:hAnsi="Arial" w:cs="Arial"/>
          <w:sz w:val="18"/>
          <w:szCs w:val="18"/>
        </w:rPr>
        <w:t xml:space="preserve"> </w:t>
      </w:r>
      <w:r w:rsidRPr="00E556D0">
        <w:rPr>
          <w:rFonts w:ascii="Arial" w:eastAsia="Times New Roman" w:hAnsi="Arial" w:cs="Arial"/>
          <w:iCs/>
          <w:sz w:val="18"/>
          <w:szCs w:val="18"/>
        </w:rPr>
        <w:t xml:space="preserve">Artículo 13.2 de la Convención Americana y </w:t>
      </w:r>
      <w:r w:rsidRPr="00E556D0">
        <w:rPr>
          <w:rFonts w:ascii="Arial" w:eastAsia="Times New Roman" w:hAnsi="Arial" w:cs="Arial"/>
          <w:iCs/>
          <w:sz w:val="18"/>
          <w:szCs w:val="18"/>
          <w:lang w:val="es-PE"/>
        </w:rPr>
        <w:t>Corte I.D.H., Caso Claude Reyes y otros. párr</w:t>
      </w:r>
      <w:r w:rsidRPr="00E556D0">
        <w:rPr>
          <w:rFonts w:ascii="Arial" w:eastAsia="Times New Roman" w:hAnsi="Arial" w:cs="Arial"/>
          <w:iCs/>
          <w:sz w:val="18"/>
          <w:szCs w:val="18"/>
        </w:rPr>
        <w:t>. 77, 89, 90, 98, 120 y 137</w:t>
      </w:r>
      <w:r w:rsidRPr="00E556D0">
        <w:rPr>
          <w:rFonts w:ascii="Arial" w:eastAsia="Times New Roman" w:hAnsi="Arial" w:cs="Arial"/>
          <w:iCs/>
          <w:sz w:val="18"/>
          <w:szCs w:val="18"/>
          <w:lang w:val="es-PE"/>
        </w:rPr>
        <w:t xml:space="preserve"> </w:t>
      </w:r>
    </w:p>
  </w:footnote>
  <w:footnote w:id="6">
    <w:p w:rsidR="00CB24D0" w:rsidRPr="00E556D0" w:rsidRDefault="00CB24D0" w:rsidP="00E556D0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E556D0">
        <w:rPr>
          <w:rStyle w:val="Refdenotaalpie"/>
          <w:rFonts w:ascii="Arial" w:hAnsi="Arial" w:cs="Arial"/>
          <w:sz w:val="18"/>
          <w:szCs w:val="18"/>
        </w:rPr>
        <w:footnoteRef/>
      </w:r>
      <w:r w:rsidRPr="00E556D0">
        <w:rPr>
          <w:rFonts w:ascii="Arial" w:hAnsi="Arial" w:cs="Arial"/>
          <w:sz w:val="18"/>
          <w:szCs w:val="18"/>
        </w:rPr>
        <w:t xml:space="preserve"> CFR. TRIBUNAL CONSTITUCIONAL. Expediente N° 04407-2007-PHD/TC, Fundamentos Jurídicos 20 y 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D0" w:rsidRPr="008F4DF4" w:rsidRDefault="00CB24D0" w:rsidP="009E2A68">
    <w:pPr>
      <w:spacing w:after="0" w:line="240" w:lineRule="auto"/>
      <w:jc w:val="right"/>
      <w:rPr>
        <w:rFonts w:ascii="Arial" w:hAnsi="Arial" w:cs="Arial"/>
        <w:b/>
        <w:smallCaps/>
      </w:rPr>
    </w:pPr>
    <w:r w:rsidRPr="008F4DF4">
      <w:rPr>
        <w:smallCaps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371475</wp:posOffset>
          </wp:positionH>
          <wp:positionV relativeFrom="margin">
            <wp:posOffset>-1037590</wp:posOffset>
          </wp:positionV>
          <wp:extent cx="1104900" cy="830580"/>
          <wp:effectExtent l="0" t="0" r="0" b="7620"/>
          <wp:wrapSquare wrapText="bothSides"/>
          <wp:docPr id="12" name="3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4DF4">
      <w:rPr>
        <w:rFonts w:ascii="Arial" w:hAnsi="Arial" w:cs="Arial"/>
        <w:b/>
        <w:smallCaps/>
      </w:rPr>
      <w:t>Grupo de Jurisprudencia y Criterios Administrativos</w:t>
    </w:r>
  </w:p>
  <w:p w:rsidR="00CB24D0" w:rsidRPr="008F4DF4" w:rsidRDefault="00CB24D0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Hoja de datos</w:t>
    </w:r>
  </w:p>
  <w:p w:rsidR="00CB24D0" w:rsidRDefault="00CB24D0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  <w:p w:rsidR="00CB24D0" w:rsidRDefault="00CB24D0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  <w:r w:rsidRPr="008F4DF4">
      <w:rPr>
        <w:rFonts w:ascii="Arial" w:hAnsi="Arial" w:cs="Arial"/>
        <w:b/>
        <w:smallCaps/>
        <w:sz w:val="24"/>
        <w:szCs w:val="24"/>
      </w:rPr>
      <w:t>Cuarto Debate Temático</w:t>
    </w:r>
  </w:p>
  <w:p w:rsidR="00CB24D0" w:rsidRDefault="00CB24D0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EE7"/>
    <w:multiLevelType w:val="hybridMultilevel"/>
    <w:tmpl w:val="1CDEE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63EE"/>
    <w:multiLevelType w:val="hybridMultilevel"/>
    <w:tmpl w:val="D9D684CA"/>
    <w:lvl w:ilvl="0" w:tplc="C5943C7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568F"/>
    <w:multiLevelType w:val="hybridMultilevel"/>
    <w:tmpl w:val="DDE2C88A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775C"/>
    <w:multiLevelType w:val="hybridMultilevel"/>
    <w:tmpl w:val="9260FF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87630"/>
    <w:multiLevelType w:val="hybridMultilevel"/>
    <w:tmpl w:val="9126C952"/>
    <w:lvl w:ilvl="0" w:tplc="C00C084C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C181E"/>
    <w:multiLevelType w:val="hybridMultilevel"/>
    <w:tmpl w:val="C188F7D0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1E6B"/>
    <w:multiLevelType w:val="hybridMultilevel"/>
    <w:tmpl w:val="ED986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43A6E"/>
    <w:multiLevelType w:val="hybridMultilevel"/>
    <w:tmpl w:val="8EEC8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FB"/>
    <w:rsid w:val="00011955"/>
    <w:rsid w:val="000478B8"/>
    <w:rsid w:val="00097BDE"/>
    <w:rsid w:val="000C3B7E"/>
    <w:rsid w:val="000D726F"/>
    <w:rsid w:val="000F0405"/>
    <w:rsid w:val="00124486"/>
    <w:rsid w:val="00150183"/>
    <w:rsid w:val="001655B3"/>
    <w:rsid w:val="00190552"/>
    <w:rsid w:val="001F1D8B"/>
    <w:rsid w:val="00231614"/>
    <w:rsid w:val="00236F2C"/>
    <w:rsid w:val="00287734"/>
    <w:rsid w:val="0033112F"/>
    <w:rsid w:val="0033282F"/>
    <w:rsid w:val="0039462F"/>
    <w:rsid w:val="003A596B"/>
    <w:rsid w:val="003F335D"/>
    <w:rsid w:val="00420E96"/>
    <w:rsid w:val="00436105"/>
    <w:rsid w:val="004633C9"/>
    <w:rsid w:val="0046764B"/>
    <w:rsid w:val="00486A8A"/>
    <w:rsid w:val="004B3A1E"/>
    <w:rsid w:val="004B612B"/>
    <w:rsid w:val="00521672"/>
    <w:rsid w:val="00522F6E"/>
    <w:rsid w:val="0055506D"/>
    <w:rsid w:val="00561534"/>
    <w:rsid w:val="005941F2"/>
    <w:rsid w:val="005E04AA"/>
    <w:rsid w:val="005F645C"/>
    <w:rsid w:val="0061563C"/>
    <w:rsid w:val="00622B72"/>
    <w:rsid w:val="006537AD"/>
    <w:rsid w:val="006720BA"/>
    <w:rsid w:val="006935C8"/>
    <w:rsid w:val="00787100"/>
    <w:rsid w:val="007A154F"/>
    <w:rsid w:val="00882082"/>
    <w:rsid w:val="008E056E"/>
    <w:rsid w:val="008F4832"/>
    <w:rsid w:val="00906EA5"/>
    <w:rsid w:val="0095076A"/>
    <w:rsid w:val="00970F79"/>
    <w:rsid w:val="009760E6"/>
    <w:rsid w:val="009E2A68"/>
    <w:rsid w:val="00A27E14"/>
    <w:rsid w:val="00A801E3"/>
    <w:rsid w:val="00AC7955"/>
    <w:rsid w:val="00B66255"/>
    <w:rsid w:val="00B927E9"/>
    <w:rsid w:val="00BC0ADB"/>
    <w:rsid w:val="00BE19FB"/>
    <w:rsid w:val="00BE4C56"/>
    <w:rsid w:val="00CB058C"/>
    <w:rsid w:val="00CB24D0"/>
    <w:rsid w:val="00CB3B99"/>
    <w:rsid w:val="00D60911"/>
    <w:rsid w:val="00D67FA1"/>
    <w:rsid w:val="00DA31EF"/>
    <w:rsid w:val="00E10CD4"/>
    <w:rsid w:val="00E131FB"/>
    <w:rsid w:val="00E23674"/>
    <w:rsid w:val="00E556D0"/>
    <w:rsid w:val="00E735B5"/>
    <w:rsid w:val="00EF4D59"/>
    <w:rsid w:val="00F03F81"/>
    <w:rsid w:val="00F11AF9"/>
    <w:rsid w:val="00F246BB"/>
    <w:rsid w:val="00F368BA"/>
    <w:rsid w:val="00F617EE"/>
    <w:rsid w:val="00F64D83"/>
    <w:rsid w:val="00FD1349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364F6-6B43-449F-B3BF-14BE60A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1FB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AC7955"/>
    <w:rPr>
      <w:b/>
      <w:bCs/>
      <w:smallCaps/>
      <w:spacing w:val="5"/>
    </w:rPr>
  </w:style>
  <w:style w:type="table" w:styleId="Listaclara-nfasis2">
    <w:name w:val="Light List Accent 2"/>
    <w:basedOn w:val="Tablanormal"/>
    <w:uiPriority w:val="61"/>
    <w:rsid w:val="008F48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A68"/>
  </w:style>
  <w:style w:type="paragraph" w:styleId="Piedepgina">
    <w:name w:val="footer"/>
    <w:basedOn w:val="Normal"/>
    <w:link w:val="Piedepgina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A68"/>
  </w:style>
  <w:style w:type="paragraph" w:styleId="NormalWeb">
    <w:name w:val="Normal (Web)"/>
    <w:basedOn w:val="Normal"/>
    <w:uiPriority w:val="99"/>
    <w:semiHidden/>
    <w:unhideWhenUsed/>
    <w:rsid w:val="00D6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67FA1"/>
  </w:style>
  <w:style w:type="paragraph" w:styleId="Textonotapie">
    <w:name w:val="footnote text"/>
    <w:basedOn w:val="Normal"/>
    <w:link w:val="TextonotapieCar"/>
    <w:uiPriority w:val="99"/>
    <w:unhideWhenUsed/>
    <w:rsid w:val="00BE19FB"/>
    <w:pPr>
      <w:spacing w:after="0" w:line="240" w:lineRule="auto"/>
    </w:pPr>
    <w:rPr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E19FB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BE1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CAC475AFB66A43B2316B05CBFB6904" ma:contentTypeVersion="3" ma:contentTypeDescription="Crear nuevo documento." ma:contentTypeScope="" ma:versionID="fbb4a129c93cd6e6f13386079142a039">
  <xsd:schema xmlns:xsd="http://www.w3.org/2001/XMLSchema" xmlns:xs="http://www.w3.org/2001/XMLSchema" xmlns:p="http://schemas.microsoft.com/office/2006/metadata/properties" xmlns:ns2="f4d36732-e6c1-4d35-a74a-a5258d763a75" targetNamespace="http://schemas.microsoft.com/office/2006/metadata/properties" ma:root="true" ma:fieldsID="2bfcf546868ddb10d17b3bf88d5500c9" ns2:_="">
    <xsd:import namespace="f4d36732-e6c1-4d35-a74a-a5258d763a7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6732-e6c1-4d35-a74a-a5258d763a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labras clave de empresa" ma:fieldId="{23f27201-bee3-471e-b2e7-b64fd8b7ca38}" ma:taxonomyMulti="true" ma:sspId="e0f18e3d-76e0-4c60-8d9f-4e08cdb8b9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6c12cb8-ea0a-4be7-97ef-6175d20ab09a}" ma:internalName="TaxCatchAll" ma:showField="CatchAllData" ma:web="f4d36732-e6c1-4d35-a74a-a5258d76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d36732-e6c1-4d35-a74a-a5258d763a75">
      <Terms xmlns="http://schemas.microsoft.com/office/infopath/2007/PartnerControls"/>
    </TaxKeywordTaxHTField>
    <TaxCatchAll xmlns="f4d36732-e6c1-4d35-a74a-a5258d763a75"/>
  </documentManagement>
</p:properties>
</file>

<file path=customXml/itemProps1.xml><?xml version="1.0" encoding="utf-8"?>
<ds:datastoreItem xmlns:ds="http://schemas.openxmlformats.org/officeDocument/2006/customXml" ds:itemID="{BECEF586-4051-4633-9B97-BB831C071559}"/>
</file>

<file path=customXml/itemProps2.xml><?xml version="1.0" encoding="utf-8"?>
<ds:datastoreItem xmlns:ds="http://schemas.openxmlformats.org/officeDocument/2006/customXml" ds:itemID="{5481CEC2-B3B6-4155-AAAB-FBDCC6E1AE9A}"/>
</file>

<file path=customXml/itemProps3.xml><?xml version="1.0" encoding="utf-8"?>
<ds:datastoreItem xmlns:ds="http://schemas.openxmlformats.org/officeDocument/2006/customXml" ds:itemID="{86EA8181-5B41-43BF-B2CF-57CDE1745D1B}"/>
</file>

<file path=customXml/itemProps4.xml><?xml version="1.0" encoding="utf-8"?>
<ds:datastoreItem xmlns:ds="http://schemas.openxmlformats.org/officeDocument/2006/customXml" ds:itemID="{E29536A4-4A7D-4D41-AB89-829BB3573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De la Paz-Pérez Farca</dc:creator>
  <cp:lastModifiedBy>Lilián Irazú Hernández Ojeda</cp:lastModifiedBy>
  <cp:revision>2</cp:revision>
  <cp:lastPrinted>2015-11-23T17:16:00Z</cp:lastPrinted>
  <dcterms:created xsi:type="dcterms:W3CDTF">2016-11-07T17:25:00Z</dcterms:created>
  <dcterms:modified xsi:type="dcterms:W3CDTF">2016-11-07T17:25:00Z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0x01010079CAC475AFB66A43B2316B05CBFB6904</vt:lpwstr>
  </property>
</Properties>
</file>