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5"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359"/>
        <w:gridCol w:w="11045"/>
      </w:tblGrid>
      <w:tr w:rsidR="00882082" w:rsidRPr="008F4832" w:rsidTr="00123C94">
        <w:trPr>
          <w:cnfStyle w:val="100000000000" w:firstRow="1" w:lastRow="0" w:firstColumn="0" w:lastColumn="0" w:oddVBand="0" w:evenVBand="0" w:oddHBand="0" w:evenHBand="0" w:firstRowFirstColumn="0" w:firstRowLastColumn="0" w:lastRowFirstColumn="0" w:lastRowLastColumn="0"/>
          <w:trHeight w:val="1292"/>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365F91" w:themeFill="accent1" w:themeFillShade="BF"/>
            <w:vAlign w:val="center"/>
          </w:tcPr>
          <w:p w:rsidR="00882082" w:rsidRPr="00E10CD4" w:rsidRDefault="00882082" w:rsidP="00E10CD4">
            <w:pPr>
              <w:jc w:val="center"/>
              <w:rPr>
                <w:rFonts w:ascii="Arial" w:eastAsia="Calibri" w:hAnsi="Arial" w:cs="Arial"/>
                <w:sz w:val="24"/>
                <w:szCs w:val="24"/>
                <w:lang w:val="es-MX"/>
              </w:rPr>
            </w:pPr>
            <w:r w:rsidRPr="008F4832">
              <w:rPr>
                <w:rFonts w:ascii="Arial" w:eastAsia="Calibri" w:hAnsi="Arial" w:cs="Arial"/>
                <w:sz w:val="24"/>
                <w:szCs w:val="24"/>
                <w:lang w:val="es-MX"/>
              </w:rPr>
              <w:t>“</w:t>
            </w:r>
            <w:r w:rsidR="006537AD" w:rsidRPr="009E2A68">
              <w:rPr>
                <w:rFonts w:ascii="Arial" w:eastAsia="Times New Roman" w:hAnsi="Arial" w:cs="Arial"/>
                <w:iCs/>
                <w:smallCaps/>
                <w:sz w:val="24"/>
                <w:szCs w:val="24"/>
              </w:rPr>
              <w:t xml:space="preserve">Afectación de derechos económicos y comerciales de terceros por la entrega de información pública ¿corresponde, o es conveniente, </w:t>
            </w:r>
            <w:proofErr w:type="spellStart"/>
            <w:r w:rsidR="006537AD" w:rsidRPr="009E2A68">
              <w:rPr>
                <w:rFonts w:ascii="Arial" w:eastAsia="Times New Roman" w:hAnsi="Arial" w:cs="Arial"/>
                <w:iCs/>
                <w:smallCaps/>
                <w:sz w:val="24"/>
                <w:szCs w:val="24"/>
              </w:rPr>
              <w:t>bilateralizar</w:t>
            </w:r>
            <w:proofErr w:type="spellEnd"/>
            <w:r w:rsidR="006537AD" w:rsidRPr="009E2A68">
              <w:rPr>
                <w:rFonts w:ascii="Arial" w:eastAsia="Times New Roman" w:hAnsi="Arial" w:cs="Arial"/>
                <w:iCs/>
                <w:smallCaps/>
                <w:sz w:val="24"/>
                <w:szCs w:val="24"/>
              </w:rPr>
              <w:t xml:space="preserve"> el trámite?</w:t>
            </w:r>
            <w:r w:rsidRPr="008F4832">
              <w:rPr>
                <w:rFonts w:ascii="Arial" w:eastAsia="Calibri" w:hAnsi="Arial" w:cs="Arial"/>
                <w:sz w:val="24"/>
                <w:szCs w:val="24"/>
                <w:lang w:val="es-MX"/>
              </w:rPr>
              <w:t xml:space="preserve">” </w:t>
            </w:r>
          </w:p>
        </w:tc>
      </w:tr>
      <w:tr w:rsidR="002963F9" w:rsidRPr="008F4832" w:rsidTr="00123C94">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166" w:type="pct"/>
            <w:vMerge w:val="restart"/>
            <w:tcBorders>
              <w:top w:val="none" w:sz="0" w:space="0" w:color="auto"/>
              <w:left w:val="none" w:sz="0" w:space="0" w:color="auto"/>
              <w:bottom w:val="none" w:sz="0" w:space="0" w:color="auto"/>
            </w:tcBorders>
            <w:vAlign w:val="center"/>
          </w:tcPr>
          <w:p w:rsidR="002963F9" w:rsidRPr="009E2A68" w:rsidRDefault="002963F9" w:rsidP="008F4832">
            <w:pPr>
              <w:jc w:val="center"/>
              <w:rPr>
                <w:rFonts w:ascii="Arial" w:eastAsia="Calibri" w:hAnsi="Arial" w:cs="Arial"/>
                <w:smallCaps/>
                <w:sz w:val="24"/>
                <w:szCs w:val="24"/>
                <w:lang w:val="es-MX"/>
              </w:rPr>
            </w:pPr>
            <w:r>
              <w:rPr>
                <w:rFonts w:ascii="Arial" w:eastAsia="Calibri" w:hAnsi="Arial" w:cs="Arial"/>
                <w:smallCaps/>
                <w:sz w:val="24"/>
                <w:szCs w:val="24"/>
                <w:lang w:val="es-MX"/>
              </w:rPr>
              <w:t>Elementos a destacar sobre el posicionamiento de otros países</w:t>
            </w:r>
          </w:p>
        </w:tc>
        <w:tc>
          <w:tcPr>
            <w:tcW w:w="3834" w:type="pct"/>
            <w:tcBorders>
              <w:top w:val="none" w:sz="0" w:space="0" w:color="auto"/>
              <w:bottom w:val="none" w:sz="0" w:space="0" w:color="auto"/>
              <w:right w:val="none" w:sz="0" w:space="0" w:color="auto"/>
            </w:tcBorders>
            <w:vAlign w:val="center"/>
          </w:tcPr>
          <w:p w:rsidR="002963F9" w:rsidRDefault="002963F9"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2963F9">
              <w:rPr>
                <w:rFonts w:ascii="Arial" w:eastAsia="Times New Roman" w:hAnsi="Arial" w:cs="Arial"/>
                <w:b/>
                <w:iCs/>
                <w:sz w:val="24"/>
                <w:szCs w:val="24"/>
                <w:lang w:val="es-MX"/>
              </w:rPr>
              <w:t>Brasil</w:t>
            </w:r>
            <w:r>
              <w:rPr>
                <w:rFonts w:ascii="Arial" w:eastAsia="Times New Roman" w:hAnsi="Arial" w:cs="Arial"/>
                <w:iCs/>
                <w:sz w:val="24"/>
                <w:szCs w:val="24"/>
                <w:lang w:val="es-MX"/>
              </w:rPr>
              <w:t>:</w:t>
            </w:r>
          </w:p>
          <w:p w:rsidR="002963F9" w:rsidRPr="00A33746" w:rsidRDefault="00C174BC" w:rsidP="00C174BC">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174BC">
              <w:rPr>
                <w:rFonts w:ascii="Arial" w:eastAsia="Times New Roman" w:hAnsi="Arial" w:cs="Arial"/>
                <w:iCs/>
                <w:sz w:val="24"/>
                <w:szCs w:val="24"/>
              </w:rPr>
              <w:t xml:space="preserve">La legislación establece el consentimiento expreso solamente en la situación de divulgación de información personal </w:t>
            </w:r>
            <w:r w:rsidRPr="00A33746">
              <w:rPr>
                <w:rFonts w:ascii="Arial" w:eastAsia="Times New Roman" w:hAnsi="Arial" w:cs="Arial"/>
                <w:b/>
                <w:iCs/>
                <w:sz w:val="24"/>
                <w:szCs w:val="24"/>
              </w:rPr>
              <w:t>sensible</w:t>
            </w:r>
            <w:r>
              <w:rPr>
                <w:rFonts w:ascii="Arial" w:eastAsia="Times New Roman" w:hAnsi="Arial" w:cs="Arial"/>
                <w:iCs/>
                <w:sz w:val="24"/>
                <w:szCs w:val="24"/>
              </w:rPr>
              <w:t>.</w:t>
            </w:r>
          </w:p>
          <w:p w:rsidR="00A33746" w:rsidRPr="00A33746" w:rsidRDefault="00A33746" w:rsidP="00C174BC">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A33746">
              <w:rPr>
                <w:rFonts w:ascii="Arial" w:eastAsia="Times New Roman" w:hAnsi="Arial" w:cs="Arial"/>
                <w:iCs/>
                <w:sz w:val="24"/>
                <w:szCs w:val="24"/>
              </w:rPr>
              <w:t>No obstante, no existe impedimento para que terceros sean consultados en otras situaciones, aún que no sea una práctica común.</w:t>
            </w:r>
          </w:p>
          <w:p w:rsidR="00A33746" w:rsidRPr="00127782" w:rsidRDefault="00A33746" w:rsidP="00C174BC">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A33746">
              <w:rPr>
                <w:rFonts w:ascii="Arial" w:eastAsia="Times New Roman" w:hAnsi="Arial" w:cs="Arial"/>
                <w:iCs/>
                <w:sz w:val="24"/>
                <w:szCs w:val="24"/>
              </w:rPr>
              <w:t>En Brasil, cuando una empresa estatal que actúa en régimen de concurrencia debe comprobar el nexo que existe entre la divulgación de una información y el perjuicio para la empresa.</w:t>
            </w:r>
          </w:p>
          <w:p w:rsidR="00127782" w:rsidRPr="00127782" w:rsidRDefault="00127782" w:rsidP="00C174BC">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127782">
              <w:rPr>
                <w:rFonts w:ascii="Arial" w:eastAsia="Times New Roman" w:hAnsi="Arial" w:cs="Arial"/>
                <w:iCs/>
                <w:sz w:val="24"/>
                <w:szCs w:val="24"/>
              </w:rPr>
              <w:t>Art. 5º del Decreto nº 7.724/12</w:t>
            </w:r>
            <w:r>
              <w:rPr>
                <w:rFonts w:ascii="Arial" w:eastAsia="Times New Roman" w:hAnsi="Arial" w:cs="Arial"/>
                <w:iCs/>
                <w:sz w:val="24"/>
                <w:szCs w:val="24"/>
              </w:rPr>
              <w:t xml:space="preserve"> </w:t>
            </w:r>
            <w:r w:rsidRPr="00127782">
              <w:rPr>
                <w:rFonts w:ascii="Arial" w:eastAsia="Times New Roman" w:hAnsi="Arial" w:cs="Arial"/>
                <w:iCs/>
                <w:sz w:val="24"/>
                <w:szCs w:val="24"/>
              </w:rPr>
              <w:t xml:space="preserve">busca proteger las informaciones económicas y comerciales de las empresas estatales que actúen en régimen de concurrencia. Para que se acepte una negativa de acceso a información, </w:t>
            </w:r>
            <w:r w:rsidRPr="00127782">
              <w:rPr>
                <w:rFonts w:ascii="Arial" w:eastAsia="Times New Roman" w:hAnsi="Arial" w:cs="Arial"/>
                <w:b/>
                <w:iCs/>
                <w:sz w:val="24"/>
                <w:szCs w:val="24"/>
              </w:rPr>
              <w:t>es necesario que se compruebe el nexo de causalidad</w:t>
            </w:r>
            <w:r w:rsidRPr="00127782">
              <w:rPr>
                <w:rFonts w:ascii="Arial" w:eastAsia="Times New Roman" w:hAnsi="Arial" w:cs="Arial"/>
                <w:iCs/>
                <w:sz w:val="24"/>
                <w:szCs w:val="24"/>
              </w:rPr>
              <w:t xml:space="preserve"> entre la divulgación de la información y el daño para los intereses de la empresa</w:t>
            </w:r>
            <w:r>
              <w:rPr>
                <w:rFonts w:ascii="Arial" w:eastAsia="Times New Roman" w:hAnsi="Arial" w:cs="Arial"/>
                <w:iCs/>
                <w:sz w:val="24"/>
                <w:szCs w:val="24"/>
              </w:rPr>
              <w:t>.</w:t>
            </w:r>
          </w:p>
          <w:p w:rsidR="00127782" w:rsidRPr="00127782" w:rsidRDefault="00127782" w:rsidP="00C174BC">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127782">
              <w:rPr>
                <w:rFonts w:ascii="Arial" w:eastAsia="Times New Roman" w:hAnsi="Arial" w:cs="Arial"/>
                <w:iCs/>
                <w:sz w:val="24"/>
                <w:szCs w:val="24"/>
              </w:rPr>
              <w:t xml:space="preserve">El segundo parágrafo del artículo 5º establece que no se sujetan al Decreto las informaciones relativas a actividad empresarial de personas físicas o jurídicas de derecho privado cuya </w:t>
            </w:r>
            <w:r w:rsidRPr="00127782">
              <w:rPr>
                <w:rFonts w:ascii="Arial" w:eastAsia="Times New Roman" w:hAnsi="Arial" w:cs="Arial"/>
                <w:b/>
                <w:iCs/>
                <w:sz w:val="24"/>
                <w:szCs w:val="24"/>
              </w:rPr>
              <w:t>divulgación pueda representar ventaja competitiva</w:t>
            </w:r>
            <w:r w:rsidRPr="00127782">
              <w:rPr>
                <w:rFonts w:ascii="Arial" w:eastAsia="Times New Roman" w:hAnsi="Arial" w:cs="Arial"/>
                <w:iCs/>
                <w:sz w:val="24"/>
                <w:szCs w:val="24"/>
              </w:rPr>
              <w:t xml:space="preserve"> a otros agentes económicos.</w:t>
            </w:r>
          </w:p>
          <w:p w:rsidR="00127782" w:rsidRPr="00C174BC" w:rsidRDefault="00127782" w:rsidP="00127782">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127782">
              <w:rPr>
                <w:rFonts w:ascii="Arial" w:eastAsia="Times New Roman" w:hAnsi="Arial" w:cs="Arial"/>
                <w:iCs/>
                <w:sz w:val="24"/>
                <w:szCs w:val="24"/>
              </w:rPr>
              <w:t xml:space="preserve">La CGU ya realiza interlocuciones con las empresas estatales buscando proporcionar la divulgación de la información cuando se percibe que no representa riesgos reales. Sin embargo, eventualmente sería interesante evaluar la pertinencia de que personas privadas también </w:t>
            </w:r>
            <w:r>
              <w:rPr>
                <w:rFonts w:ascii="Arial" w:eastAsia="Times New Roman" w:hAnsi="Arial" w:cs="Arial"/>
                <w:iCs/>
                <w:sz w:val="24"/>
                <w:szCs w:val="24"/>
              </w:rPr>
              <w:lastRenderedPageBreak/>
              <w:t>puedan</w:t>
            </w:r>
            <w:r w:rsidRPr="00127782">
              <w:rPr>
                <w:rFonts w:ascii="Arial" w:eastAsia="Times New Roman" w:hAnsi="Arial" w:cs="Arial"/>
                <w:iCs/>
                <w:sz w:val="24"/>
                <w:szCs w:val="24"/>
              </w:rPr>
              <w:t xml:space="preserve"> consentir con la posibilidad de divulgación de determinadas informaciones que tengan sido demandadas.</w:t>
            </w:r>
          </w:p>
        </w:tc>
      </w:tr>
      <w:tr w:rsidR="00123C94" w:rsidRPr="008F4832" w:rsidTr="00123C94">
        <w:trPr>
          <w:trHeight w:val="728"/>
        </w:trPr>
        <w:tc>
          <w:tcPr>
            <w:cnfStyle w:val="001000000000" w:firstRow="0" w:lastRow="0" w:firstColumn="1" w:lastColumn="0" w:oddVBand="0" w:evenVBand="0" w:oddHBand="0" w:evenHBand="0" w:firstRowFirstColumn="0" w:firstRowLastColumn="0" w:lastRowFirstColumn="0" w:lastRowLastColumn="0"/>
            <w:tcW w:w="1166" w:type="pct"/>
            <w:vMerge/>
            <w:vAlign w:val="center"/>
          </w:tcPr>
          <w:p w:rsidR="00123C94" w:rsidRDefault="00123C94" w:rsidP="008F4832">
            <w:pPr>
              <w:jc w:val="center"/>
              <w:rPr>
                <w:rFonts w:ascii="Arial" w:eastAsia="Calibri" w:hAnsi="Arial" w:cs="Arial"/>
                <w:smallCaps/>
                <w:sz w:val="24"/>
                <w:szCs w:val="24"/>
                <w:lang w:val="es-MX"/>
              </w:rPr>
            </w:pPr>
          </w:p>
        </w:tc>
        <w:tc>
          <w:tcPr>
            <w:tcW w:w="3834" w:type="pct"/>
            <w:vAlign w:val="center"/>
          </w:tcPr>
          <w:p w:rsidR="00123C94" w:rsidRDefault="00123C94" w:rsidP="008F483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Chile</w:t>
            </w:r>
            <w:r w:rsidR="00623B39">
              <w:rPr>
                <w:rFonts w:ascii="Arial" w:eastAsia="Times New Roman" w:hAnsi="Arial" w:cs="Arial"/>
                <w:iCs/>
                <w:sz w:val="24"/>
                <w:szCs w:val="24"/>
                <w:lang w:val="es-MX"/>
              </w:rPr>
              <w:t>:</w:t>
            </w:r>
          </w:p>
          <w:p w:rsidR="008027E7" w:rsidRDefault="008027E7" w:rsidP="008027E7">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8027E7">
              <w:rPr>
                <w:rFonts w:ascii="Arial" w:eastAsia="Times New Roman" w:hAnsi="Arial" w:cs="Arial"/>
                <w:iCs/>
                <w:sz w:val="24"/>
                <w:szCs w:val="24"/>
                <w:lang w:val="es-MX"/>
              </w:rPr>
              <w:t xml:space="preserve">La aplicación por parte del órgano reclamado del artículo 20 de la Ley de Transparencia, en virtud del cual cuando la solicitud de información se refiera a documentos o antecedentes que contengan información que pueda afectar los derechos de terceros, </w:t>
            </w:r>
            <w:r w:rsidRPr="008027E7">
              <w:rPr>
                <w:rFonts w:ascii="Arial" w:eastAsia="Times New Roman" w:hAnsi="Arial" w:cs="Arial"/>
                <w:b/>
                <w:iCs/>
                <w:sz w:val="24"/>
                <w:szCs w:val="24"/>
                <w:lang w:val="es-MX"/>
              </w:rPr>
              <w:t>se deberá comunicar a estos, el requerimiento y su facultad de oponerse a su entrega</w:t>
            </w:r>
            <w:r w:rsidRPr="008027E7">
              <w:rPr>
                <w:rFonts w:ascii="Arial" w:eastAsia="Times New Roman" w:hAnsi="Arial" w:cs="Arial"/>
                <w:iCs/>
                <w:sz w:val="24"/>
                <w:szCs w:val="24"/>
                <w:lang w:val="es-MX"/>
              </w:rPr>
              <w:t>.</w:t>
            </w:r>
          </w:p>
          <w:p w:rsidR="008027E7" w:rsidRDefault="008027E7" w:rsidP="008027E7">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8027E7">
              <w:rPr>
                <w:rFonts w:ascii="Arial" w:eastAsia="Times New Roman" w:hAnsi="Arial" w:cs="Arial"/>
                <w:iCs/>
                <w:sz w:val="24"/>
                <w:szCs w:val="24"/>
                <w:lang w:val="es-MX"/>
              </w:rPr>
              <w:t>Deducida la oposición en tiempo y forma, el órgano requerido quedará impedido de proporcionar la documentación pedida, salvo resolución en contrario del Consejo para la Transparencia.</w:t>
            </w:r>
          </w:p>
          <w:p w:rsidR="008027E7" w:rsidRDefault="00C174BC" w:rsidP="008027E7">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174BC">
              <w:rPr>
                <w:rFonts w:ascii="Arial" w:eastAsia="Times New Roman" w:hAnsi="Arial" w:cs="Arial"/>
                <w:iCs/>
                <w:sz w:val="24"/>
                <w:szCs w:val="24"/>
                <w:lang w:val="es-MX"/>
              </w:rPr>
              <w:t xml:space="preserve">En virtud de la oposición realizada por el tercero, ya sea en atención del artículo 20 o 25 de la Ley de Transparencia, </w:t>
            </w:r>
            <w:r w:rsidRPr="00C174BC">
              <w:rPr>
                <w:rFonts w:ascii="Arial" w:eastAsia="Times New Roman" w:hAnsi="Arial" w:cs="Arial"/>
                <w:b/>
                <w:iCs/>
                <w:sz w:val="24"/>
                <w:szCs w:val="24"/>
                <w:lang w:val="es-MX"/>
              </w:rPr>
              <w:t xml:space="preserve">el CPLT procederá a ponderar </w:t>
            </w:r>
            <w:r>
              <w:rPr>
                <w:rFonts w:ascii="Arial" w:eastAsia="Times New Roman" w:hAnsi="Arial" w:cs="Arial"/>
                <w:b/>
                <w:iCs/>
                <w:sz w:val="24"/>
                <w:szCs w:val="24"/>
                <w:lang w:val="es-MX"/>
              </w:rPr>
              <w:t>l</w:t>
            </w:r>
            <w:r w:rsidRPr="00C174BC">
              <w:rPr>
                <w:rFonts w:ascii="Arial" w:eastAsia="Times New Roman" w:hAnsi="Arial" w:cs="Arial"/>
                <w:b/>
                <w:iCs/>
                <w:sz w:val="24"/>
                <w:szCs w:val="24"/>
                <w:lang w:val="es-MX"/>
              </w:rPr>
              <w:t>a afectación alegada</w:t>
            </w:r>
            <w:r w:rsidRPr="00C174BC">
              <w:rPr>
                <w:rFonts w:ascii="Arial" w:eastAsia="Times New Roman" w:hAnsi="Arial" w:cs="Arial"/>
                <w:iCs/>
                <w:sz w:val="24"/>
                <w:szCs w:val="24"/>
                <w:lang w:val="es-MX"/>
              </w:rPr>
              <w:t>, conciliando los derechos invocados por éstos con el derecho de acceso a la información.</w:t>
            </w:r>
          </w:p>
          <w:p w:rsidR="00C174BC" w:rsidRPr="00C174BC" w:rsidRDefault="00C174BC" w:rsidP="00C174BC">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174BC">
              <w:rPr>
                <w:rFonts w:ascii="Arial" w:eastAsia="Times New Roman" w:hAnsi="Arial" w:cs="Arial"/>
                <w:iCs/>
                <w:sz w:val="24"/>
                <w:szCs w:val="24"/>
                <w:lang w:val="es-MX"/>
              </w:rPr>
              <w:t xml:space="preserve">El CPLT ha establecido los </w:t>
            </w:r>
            <w:r w:rsidRPr="00C174BC">
              <w:rPr>
                <w:rFonts w:ascii="Arial" w:eastAsia="Times New Roman" w:hAnsi="Arial" w:cs="Arial"/>
                <w:b/>
                <w:iCs/>
                <w:sz w:val="24"/>
                <w:szCs w:val="24"/>
                <w:lang w:val="es-MX"/>
              </w:rPr>
              <w:t>requisitos que deben concurrir para estimar reservada</w:t>
            </w:r>
            <w:r w:rsidRPr="00C174BC">
              <w:rPr>
                <w:rFonts w:ascii="Arial" w:eastAsia="Times New Roman" w:hAnsi="Arial" w:cs="Arial"/>
                <w:iCs/>
                <w:sz w:val="24"/>
                <w:szCs w:val="24"/>
                <w:lang w:val="es-MX"/>
              </w:rPr>
              <w:t xml:space="preserve"> la información cuya divulgación pueda afectar los derechos económicos y comerciales de una persona, para lo cual, debe: </w:t>
            </w:r>
          </w:p>
          <w:p w:rsidR="00C174BC" w:rsidRPr="00C174BC" w:rsidRDefault="00C174BC" w:rsidP="00C174BC">
            <w:pPr>
              <w:pStyle w:val="Prrafodelista"/>
              <w:ind w:left="106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174BC">
              <w:rPr>
                <w:rFonts w:ascii="Arial" w:eastAsia="Times New Roman" w:hAnsi="Arial" w:cs="Arial"/>
                <w:iCs/>
                <w:sz w:val="24"/>
                <w:szCs w:val="24"/>
                <w:lang w:val="es-MX"/>
              </w:rPr>
              <w:t xml:space="preserve">a) </w:t>
            </w:r>
            <w:r w:rsidRPr="00896725">
              <w:rPr>
                <w:rFonts w:ascii="Arial" w:eastAsia="Times New Roman" w:hAnsi="Arial" w:cs="Arial"/>
                <w:b/>
                <w:iCs/>
                <w:sz w:val="24"/>
                <w:szCs w:val="24"/>
                <w:highlight w:val="yellow"/>
                <w:lang w:val="es-MX"/>
              </w:rPr>
              <w:t>ser secreta</w:t>
            </w:r>
            <w:r w:rsidRPr="00896725">
              <w:rPr>
                <w:rFonts w:ascii="Arial" w:eastAsia="Times New Roman" w:hAnsi="Arial" w:cs="Arial"/>
                <w:iCs/>
                <w:sz w:val="24"/>
                <w:szCs w:val="24"/>
                <w:highlight w:val="yellow"/>
                <w:lang w:val="es-MX"/>
              </w:rPr>
              <w:t>, es decir, no generalmente conocida ni fácilmente accesible para personas introducidas en los círculos en que normalmente se utiliza ésta;</w:t>
            </w:r>
            <w:r w:rsidRPr="00C174BC">
              <w:rPr>
                <w:rFonts w:ascii="Arial" w:eastAsia="Times New Roman" w:hAnsi="Arial" w:cs="Arial"/>
                <w:iCs/>
                <w:sz w:val="24"/>
                <w:szCs w:val="24"/>
                <w:lang w:val="es-MX"/>
              </w:rPr>
              <w:t xml:space="preserve"> </w:t>
            </w:r>
          </w:p>
          <w:p w:rsidR="00C174BC" w:rsidRPr="00C174BC" w:rsidRDefault="00C174BC" w:rsidP="00C174BC">
            <w:pPr>
              <w:pStyle w:val="Prrafodelista"/>
              <w:ind w:left="106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174BC">
              <w:rPr>
                <w:rFonts w:ascii="Arial" w:eastAsia="Times New Roman" w:hAnsi="Arial" w:cs="Arial"/>
                <w:iCs/>
                <w:sz w:val="24"/>
                <w:szCs w:val="24"/>
                <w:lang w:val="es-MX"/>
              </w:rPr>
              <w:t xml:space="preserve">b) </w:t>
            </w:r>
            <w:r w:rsidRPr="00C174BC">
              <w:rPr>
                <w:rFonts w:ascii="Arial" w:eastAsia="Times New Roman" w:hAnsi="Arial" w:cs="Arial"/>
                <w:b/>
                <w:iCs/>
                <w:sz w:val="24"/>
                <w:szCs w:val="24"/>
                <w:lang w:val="es-MX"/>
              </w:rPr>
              <w:t>ser objeto de razonables esfuerzos para mantener su secreto</w:t>
            </w:r>
            <w:r w:rsidRPr="00C174BC">
              <w:rPr>
                <w:rFonts w:ascii="Arial" w:eastAsia="Times New Roman" w:hAnsi="Arial" w:cs="Arial"/>
                <w:iCs/>
                <w:sz w:val="24"/>
                <w:szCs w:val="24"/>
                <w:lang w:val="es-MX"/>
              </w:rPr>
              <w:t xml:space="preserve">; y </w:t>
            </w:r>
          </w:p>
          <w:p w:rsidR="00C174BC" w:rsidRPr="008027E7" w:rsidRDefault="00C174BC" w:rsidP="00C174BC">
            <w:pPr>
              <w:pStyle w:val="Prrafodelista"/>
              <w:ind w:left="106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174BC">
              <w:rPr>
                <w:rFonts w:ascii="Arial" w:eastAsia="Times New Roman" w:hAnsi="Arial" w:cs="Arial"/>
                <w:iCs/>
                <w:sz w:val="24"/>
                <w:szCs w:val="24"/>
                <w:lang w:val="es-MX"/>
              </w:rPr>
              <w:t xml:space="preserve">c) </w:t>
            </w:r>
            <w:r w:rsidRPr="00C174BC">
              <w:rPr>
                <w:rFonts w:ascii="Arial" w:eastAsia="Times New Roman" w:hAnsi="Arial" w:cs="Arial"/>
                <w:b/>
                <w:iCs/>
                <w:sz w:val="24"/>
                <w:szCs w:val="24"/>
                <w:lang w:val="es-MX"/>
              </w:rPr>
              <w:t>tener un valor comercial por ser secreta</w:t>
            </w:r>
            <w:r w:rsidRPr="00C174BC">
              <w:rPr>
                <w:rFonts w:ascii="Arial" w:eastAsia="Times New Roman" w:hAnsi="Arial" w:cs="Arial"/>
                <w:iCs/>
                <w:sz w:val="24"/>
                <w:szCs w:val="24"/>
                <w:lang w:val="es-MX"/>
              </w:rPr>
              <w:t>, esto es, que dicho carácter proporcione a su titular una ventaja competitiva (y por el contrario, su publicidad afectar significativamente su desenvolvimiento competitivo).</w:t>
            </w:r>
          </w:p>
        </w:tc>
      </w:tr>
      <w:tr w:rsidR="002963F9" w:rsidRPr="008F4832" w:rsidTr="00123C94">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166" w:type="pct"/>
            <w:vMerge/>
            <w:tcBorders>
              <w:top w:val="none" w:sz="0" w:space="0" w:color="auto"/>
              <w:left w:val="none" w:sz="0" w:space="0" w:color="auto"/>
              <w:bottom w:val="none" w:sz="0" w:space="0" w:color="auto"/>
            </w:tcBorders>
            <w:vAlign w:val="center"/>
          </w:tcPr>
          <w:p w:rsidR="002963F9" w:rsidRDefault="002963F9" w:rsidP="008F4832">
            <w:pPr>
              <w:jc w:val="center"/>
              <w:rPr>
                <w:rFonts w:ascii="Arial" w:eastAsia="Calibri" w:hAnsi="Arial" w:cs="Arial"/>
                <w:smallCaps/>
                <w:sz w:val="24"/>
                <w:szCs w:val="24"/>
                <w:lang w:val="es-MX"/>
              </w:rPr>
            </w:pPr>
          </w:p>
        </w:tc>
        <w:tc>
          <w:tcPr>
            <w:tcW w:w="3834" w:type="pct"/>
            <w:tcBorders>
              <w:top w:val="none" w:sz="0" w:space="0" w:color="auto"/>
              <w:bottom w:val="none" w:sz="0" w:space="0" w:color="auto"/>
              <w:right w:val="none" w:sz="0" w:space="0" w:color="auto"/>
            </w:tcBorders>
            <w:vAlign w:val="center"/>
          </w:tcPr>
          <w:p w:rsidR="002963F9" w:rsidRDefault="002963F9"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2963F9">
              <w:rPr>
                <w:rFonts w:ascii="Arial" w:eastAsia="Times New Roman" w:hAnsi="Arial" w:cs="Arial"/>
                <w:b/>
                <w:iCs/>
                <w:sz w:val="24"/>
                <w:szCs w:val="24"/>
                <w:lang w:val="es-MX"/>
              </w:rPr>
              <w:t>El Salvador</w:t>
            </w:r>
            <w:r>
              <w:rPr>
                <w:rFonts w:ascii="Arial" w:eastAsia="Times New Roman" w:hAnsi="Arial" w:cs="Arial"/>
                <w:iCs/>
                <w:sz w:val="24"/>
                <w:szCs w:val="24"/>
                <w:lang w:val="es-MX"/>
              </w:rPr>
              <w:t>:</w:t>
            </w:r>
          </w:p>
          <w:p w:rsidR="002963F9" w:rsidRPr="004630DD" w:rsidRDefault="004630DD" w:rsidP="0094657A">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4630DD">
              <w:rPr>
                <w:rFonts w:ascii="Arial" w:eastAsia="Times New Roman" w:hAnsi="Arial" w:cs="Arial"/>
                <w:iCs/>
                <w:sz w:val="24"/>
                <w:szCs w:val="24"/>
                <w:lang w:val="es-MX"/>
              </w:rPr>
              <w:t>La Ley de Acceso a la Información Pública establece la posibilidad de entregar la información en caso que conste el consentimiento expreso y libre del titular de la misma, art. 25 LAIP.</w:t>
            </w:r>
          </w:p>
          <w:p w:rsidR="004630DD" w:rsidRPr="004630DD" w:rsidRDefault="004630DD" w:rsidP="0094657A">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4630DD">
              <w:rPr>
                <w:rFonts w:ascii="Arial" w:eastAsia="Times New Roman" w:hAnsi="Arial" w:cs="Arial"/>
                <w:sz w:val="24"/>
                <w:szCs w:val="24"/>
                <w:lang w:val="es-MX" w:eastAsia="es-ES"/>
              </w:rPr>
              <w:t xml:space="preserve">Por otra parte, el art. 40 del </w:t>
            </w:r>
            <w:proofErr w:type="spellStart"/>
            <w:r w:rsidRPr="004630DD">
              <w:rPr>
                <w:rFonts w:ascii="Arial" w:eastAsia="Times New Roman" w:hAnsi="Arial" w:cs="Arial"/>
                <w:sz w:val="24"/>
                <w:szCs w:val="24"/>
                <w:lang w:val="es-MX" w:eastAsia="es-ES"/>
              </w:rPr>
              <w:t>ReLAIP</w:t>
            </w:r>
            <w:proofErr w:type="spellEnd"/>
            <w:r w:rsidRPr="004630DD">
              <w:rPr>
                <w:rFonts w:ascii="Arial" w:eastAsia="Times New Roman" w:hAnsi="Arial" w:cs="Arial"/>
                <w:sz w:val="24"/>
                <w:szCs w:val="24"/>
                <w:lang w:val="es-MX" w:eastAsia="es-ES"/>
              </w:rPr>
              <w:t xml:space="preserve"> establece la prohibición de contar con consentimiento genérico.</w:t>
            </w:r>
          </w:p>
          <w:p w:rsidR="004630DD" w:rsidRPr="006D07F7" w:rsidRDefault="004630DD" w:rsidP="0094657A">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4630DD">
              <w:rPr>
                <w:rFonts w:ascii="Arial" w:eastAsia="Times New Roman" w:hAnsi="Arial" w:cs="Arial"/>
                <w:sz w:val="24"/>
                <w:szCs w:val="24"/>
                <w:lang w:val="es-MX" w:eastAsia="es-ES"/>
              </w:rPr>
              <w:lastRenderedPageBreak/>
              <w:t xml:space="preserve">Por otra parte, considero que la prueba de daño en información confidencial no es oportuna dado que en estos casos se trata de información privada que corresponde a la esfera ad </w:t>
            </w:r>
            <w:proofErr w:type="spellStart"/>
            <w:r w:rsidRPr="004630DD">
              <w:rPr>
                <w:rFonts w:ascii="Arial" w:eastAsia="Times New Roman" w:hAnsi="Arial" w:cs="Arial"/>
                <w:sz w:val="24"/>
                <w:szCs w:val="24"/>
                <w:lang w:val="es-MX" w:eastAsia="es-ES"/>
              </w:rPr>
              <w:t>intra</w:t>
            </w:r>
            <w:proofErr w:type="spellEnd"/>
            <w:r w:rsidRPr="004630DD">
              <w:rPr>
                <w:rFonts w:ascii="Arial" w:eastAsia="Times New Roman" w:hAnsi="Arial" w:cs="Arial"/>
                <w:sz w:val="24"/>
                <w:szCs w:val="24"/>
                <w:lang w:val="es-MX" w:eastAsia="es-ES"/>
              </w:rPr>
              <w:t xml:space="preserve"> de cada persona y por tanto, el titular de la información es el único que puede autorizar revelar o no la información.</w:t>
            </w:r>
          </w:p>
          <w:p w:rsidR="006D07F7" w:rsidRPr="006D07F7" w:rsidRDefault="006D07F7" w:rsidP="0094657A">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283842">
              <w:rPr>
                <w:rFonts w:ascii="Arial" w:eastAsia="Times New Roman" w:hAnsi="Arial" w:cs="Arial"/>
                <w:iCs/>
                <w:sz w:val="24"/>
                <w:szCs w:val="24"/>
              </w:rPr>
              <w:t>Los límites del derecho de acceso a la información no pueden ser arbitrarios, sino que tienen que estar previamente establecidos por el legislador, de esta manera se previene que la Administración Pública utilice discrecionalmente argumentos encaminados a negar información. Por eso, la LAIP establece tres categorías de información: pública, reservada y confidencial.</w:t>
            </w:r>
          </w:p>
          <w:p w:rsidR="006D07F7" w:rsidRPr="006D07F7" w:rsidRDefault="006D07F7" w:rsidP="0094657A">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 xml:space="preserve">Para el caso del presente debate, la información relativa a derechos comerciales o económicos encaja en las causales de información confidencial. Por lo tanto, la legislación salvadoreña faculta a los oficiales de información a </w:t>
            </w:r>
            <w:proofErr w:type="spellStart"/>
            <w:r>
              <w:rPr>
                <w:rFonts w:ascii="Arial" w:eastAsia="Times New Roman" w:hAnsi="Arial" w:cs="Arial"/>
                <w:iCs/>
                <w:sz w:val="24"/>
                <w:szCs w:val="24"/>
              </w:rPr>
              <w:t>bilateralizar</w:t>
            </w:r>
            <w:proofErr w:type="spellEnd"/>
            <w:r>
              <w:rPr>
                <w:rFonts w:ascii="Arial" w:eastAsia="Times New Roman" w:hAnsi="Arial" w:cs="Arial"/>
                <w:iCs/>
                <w:sz w:val="24"/>
                <w:szCs w:val="24"/>
              </w:rPr>
              <w:t xml:space="preserve"> el trámite, es decir, faculta a los oficiales a consultar a los titulares de la información si manifiestan su consentimiento para divulgarla.</w:t>
            </w:r>
          </w:p>
          <w:p w:rsidR="006D07F7" w:rsidRPr="004630DD" w:rsidRDefault="006D07F7" w:rsidP="006D07F7">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6D07F7">
              <w:rPr>
                <w:rFonts w:ascii="Arial" w:eastAsia="Times New Roman" w:hAnsi="Arial" w:cs="Arial"/>
                <w:iCs/>
                <w:sz w:val="24"/>
                <w:szCs w:val="24"/>
                <w:lang w:val="es-MX"/>
              </w:rPr>
              <w:t xml:space="preserve">La experiencia señala que es oportuno </w:t>
            </w:r>
            <w:proofErr w:type="spellStart"/>
            <w:r w:rsidRPr="006D07F7">
              <w:rPr>
                <w:rFonts w:ascii="Arial" w:eastAsia="Times New Roman" w:hAnsi="Arial" w:cs="Arial"/>
                <w:iCs/>
                <w:sz w:val="24"/>
                <w:szCs w:val="24"/>
                <w:lang w:val="es-MX"/>
              </w:rPr>
              <w:t>bilateralizar</w:t>
            </w:r>
            <w:proofErr w:type="spellEnd"/>
            <w:r w:rsidRPr="006D07F7">
              <w:rPr>
                <w:rFonts w:ascii="Arial" w:eastAsia="Times New Roman" w:hAnsi="Arial" w:cs="Arial"/>
                <w:iCs/>
                <w:sz w:val="24"/>
                <w:szCs w:val="24"/>
                <w:lang w:val="es-MX"/>
              </w:rPr>
              <w:t xml:space="preserve"> el trámite, ya que esto permite dar oportunidad a aquellos que poseen derechos comerciales </w:t>
            </w:r>
            <w:r w:rsidRPr="00896725">
              <w:rPr>
                <w:rFonts w:ascii="Arial" w:eastAsia="Times New Roman" w:hAnsi="Arial" w:cs="Arial"/>
                <w:iCs/>
                <w:sz w:val="24"/>
                <w:szCs w:val="24"/>
                <w:highlight w:val="yellow"/>
                <w:lang w:val="es-MX"/>
              </w:rPr>
              <w:t>a restringir la divulgación de la información.</w:t>
            </w:r>
          </w:p>
        </w:tc>
      </w:tr>
      <w:tr w:rsidR="002963F9" w:rsidRPr="008F4832" w:rsidTr="00123C94">
        <w:trPr>
          <w:trHeight w:val="840"/>
        </w:trPr>
        <w:tc>
          <w:tcPr>
            <w:cnfStyle w:val="001000000000" w:firstRow="0" w:lastRow="0" w:firstColumn="1" w:lastColumn="0" w:oddVBand="0" w:evenVBand="0" w:oddHBand="0" w:evenHBand="0" w:firstRowFirstColumn="0" w:firstRowLastColumn="0" w:lastRowFirstColumn="0" w:lastRowLastColumn="0"/>
            <w:tcW w:w="1166" w:type="pct"/>
            <w:vMerge/>
            <w:vAlign w:val="center"/>
          </w:tcPr>
          <w:p w:rsidR="002963F9" w:rsidRDefault="002963F9" w:rsidP="008F4832">
            <w:pPr>
              <w:jc w:val="center"/>
              <w:rPr>
                <w:rFonts w:ascii="Arial" w:eastAsia="Calibri" w:hAnsi="Arial" w:cs="Arial"/>
                <w:smallCaps/>
                <w:sz w:val="24"/>
                <w:szCs w:val="24"/>
                <w:lang w:val="es-MX"/>
              </w:rPr>
            </w:pPr>
          </w:p>
        </w:tc>
        <w:tc>
          <w:tcPr>
            <w:tcW w:w="3834" w:type="pct"/>
            <w:vAlign w:val="center"/>
          </w:tcPr>
          <w:p w:rsidR="002963F9" w:rsidRDefault="002963F9" w:rsidP="008F483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2963F9">
              <w:rPr>
                <w:rFonts w:ascii="Arial" w:eastAsia="Times New Roman" w:hAnsi="Arial" w:cs="Arial"/>
                <w:b/>
                <w:iCs/>
                <w:sz w:val="24"/>
                <w:szCs w:val="24"/>
                <w:lang w:val="es-MX"/>
              </w:rPr>
              <w:t>España</w:t>
            </w:r>
            <w:r>
              <w:rPr>
                <w:rFonts w:ascii="Arial" w:eastAsia="Times New Roman" w:hAnsi="Arial" w:cs="Arial"/>
                <w:iCs/>
                <w:sz w:val="24"/>
                <w:szCs w:val="24"/>
                <w:lang w:val="es-MX"/>
              </w:rPr>
              <w:t>:</w:t>
            </w:r>
          </w:p>
          <w:p w:rsidR="002963F9" w:rsidRPr="00C67785" w:rsidRDefault="009961EA" w:rsidP="00C677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67785">
              <w:rPr>
                <w:rFonts w:ascii="Arial" w:eastAsia="Times New Roman" w:hAnsi="Arial" w:cs="Arial"/>
                <w:sz w:val="24"/>
                <w:szCs w:val="24"/>
                <w:lang w:val="es-MX" w:eastAsia="es-ES"/>
              </w:rPr>
              <w:t>En el ámbito de los contratos públicos, existe una obligación general de garantizar la confidencialidad de la información que pueda perjudicar los derechos comerciales en relación con los documentos del expediente de contratación.</w:t>
            </w:r>
          </w:p>
          <w:p w:rsidR="00C67785" w:rsidRDefault="00C67785" w:rsidP="00C677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El Consejo para la Transparencia y Buen Gobierno (CTBG) realiza el doble test (</w:t>
            </w:r>
            <w:r w:rsidRPr="00C67785">
              <w:rPr>
                <w:rFonts w:ascii="Arial" w:eastAsia="Times New Roman" w:hAnsi="Arial" w:cs="Arial"/>
                <w:iCs/>
                <w:sz w:val="24"/>
                <w:szCs w:val="24"/>
                <w:lang w:val="es-MX"/>
              </w:rPr>
              <w:t>del perjuicio y del interés) a la hora de analizar si es de aplicación el límite. Es decir, primer</w:t>
            </w:r>
            <w:r>
              <w:rPr>
                <w:rFonts w:ascii="Arial" w:eastAsia="Times New Roman" w:hAnsi="Arial" w:cs="Arial"/>
                <w:iCs/>
                <w:sz w:val="24"/>
                <w:szCs w:val="24"/>
                <w:lang w:val="es-MX"/>
              </w:rPr>
              <w:t>o</w:t>
            </w:r>
            <w:r w:rsidRPr="00C67785">
              <w:rPr>
                <w:rFonts w:ascii="Arial" w:eastAsia="Times New Roman" w:hAnsi="Arial" w:cs="Arial"/>
                <w:iCs/>
                <w:sz w:val="24"/>
                <w:szCs w:val="24"/>
                <w:lang w:val="es-MX"/>
              </w:rPr>
              <w:t xml:space="preserve"> se analiza si del acceso a la información puede derivarse un perjuicio y, posteriormente, si, a pesar de ese daño, existe un interés superior que justifique el acceso</w:t>
            </w:r>
            <w:r>
              <w:rPr>
                <w:rFonts w:ascii="Arial" w:eastAsia="Times New Roman" w:hAnsi="Arial" w:cs="Arial"/>
                <w:iCs/>
                <w:sz w:val="24"/>
                <w:szCs w:val="24"/>
                <w:lang w:val="es-MX"/>
              </w:rPr>
              <w:t>.</w:t>
            </w:r>
          </w:p>
          <w:p w:rsidR="006D07F7" w:rsidRPr="006D07F7" w:rsidRDefault="00C67785" w:rsidP="006D07F7">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67785">
              <w:rPr>
                <w:rFonts w:ascii="Arial" w:eastAsia="Times New Roman" w:hAnsi="Arial" w:cs="Arial"/>
                <w:iCs/>
                <w:sz w:val="24"/>
                <w:szCs w:val="24"/>
              </w:rPr>
              <w:t>Entendemos que debe evitarse una interpretación amplia de estos intereses y que debe ser acreditado el daño, de forma real y objetiva.</w:t>
            </w:r>
          </w:p>
        </w:tc>
      </w:tr>
      <w:tr w:rsidR="00123C94" w:rsidRPr="008F4832" w:rsidTr="00123C94">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166" w:type="pct"/>
            <w:vMerge/>
            <w:tcBorders>
              <w:top w:val="none" w:sz="0" w:space="0" w:color="auto"/>
              <w:left w:val="none" w:sz="0" w:space="0" w:color="auto"/>
              <w:bottom w:val="none" w:sz="0" w:space="0" w:color="auto"/>
            </w:tcBorders>
            <w:vAlign w:val="center"/>
          </w:tcPr>
          <w:p w:rsidR="00123C94" w:rsidRDefault="00123C94" w:rsidP="008F4832">
            <w:pPr>
              <w:jc w:val="center"/>
              <w:rPr>
                <w:rFonts w:ascii="Arial" w:eastAsia="Calibri" w:hAnsi="Arial" w:cs="Arial"/>
                <w:smallCaps/>
                <w:sz w:val="24"/>
                <w:szCs w:val="24"/>
                <w:lang w:val="es-MX"/>
              </w:rPr>
            </w:pPr>
          </w:p>
        </w:tc>
        <w:tc>
          <w:tcPr>
            <w:tcW w:w="3834" w:type="pct"/>
            <w:tcBorders>
              <w:top w:val="none" w:sz="0" w:space="0" w:color="auto"/>
              <w:bottom w:val="none" w:sz="0" w:space="0" w:color="auto"/>
              <w:right w:val="none" w:sz="0" w:space="0" w:color="auto"/>
            </w:tcBorders>
            <w:vAlign w:val="center"/>
          </w:tcPr>
          <w:p w:rsidR="00123C94" w:rsidRDefault="00123C94" w:rsidP="00123C9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2963F9">
              <w:rPr>
                <w:rFonts w:ascii="Arial" w:eastAsia="Times New Roman" w:hAnsi="Arial" w:cs="Arial"/>
                <w:b/>
                <w:iCs/>
                <w:sz w:val="24"/>
                <w:szCs w:val="24"/>
                <w:lang w:val="es-MX"/>
              </w:rPr>
              <w:t>México</w:t>
            </w:r>
            <w:r>
              <w:rPr>
                <w:rFonts w:ascii="Arial" w:eastAsia="Times New Roman" w:hAnsi="Arial" w:cs="Arial"/>
                <w:iCs/>
                <w:sz w:val="24"/>
                <w:szCs w:val="24"/>
                <w:lang w:val="es-MX"/>
              </w:rPr>
              <w:t>:</w:t>
            </w:r>
          </w:p>
          <w:p w:rsidR="006D07F7" w:rsidRDefault="006D07F7"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 xml:space="preserve">En México, la confidencialidad de la información se encuentra regulada en los artículos 116 a 120 de la </w:t>
            </w:r>
            <w:r w:rsidRPr="00D52839">
              <w:rPr>
                <w:rFonts w:ascii="Arial" w:eastAsia="Times New Roman" w:hAnsi="Arial" w:cs="Arial"/>
                <w:i/>
                <w:sz w:val="24"/>
                <w:szCs w:val="24"/>
                <w:lang w:val="es-MX" w:eastAsia="es-ES"/>
              </w:rPr>
              <w:t>Ley General de Transparencia y Acceso a la Información Pública</w:t>
            </w:r>
            <w:r>
              <w:rPr>
                <w:rFonts w:ascii="Arial" w:eastAsia="Times New Roman" w:hAnsi="Arial" w:cs="Arial"/>
                <w:sz w:val="24"/>
                <w:szCs w:val="24"/>
                <w:lang w:val="es-MX" w:eastAsia="es-ES"/>
              </w:rPr>
              <w:t xml:space="preserve">. En tales numerales, se indica que se considerará </w:t>
            </w:r>
            <w:r w:rsidRPr="00190255">
              <w:rPr>
                <w:rFonts w:ascii="Arial" w:eastAsia="Times New Roman" w:hAnsi="Arial" w:cs="Arial"/>
                <w:sz w:val="24"/>
                <w:szCs w:val="24"/>
                <w:lang w:eastAsia="es-ES"/>
              </w:rPr>
              <w:t>información confidencial la que contiene datos personales concernientes a una persona identificada o identificable</w:t>
            </w:r>
            <w:r>
              <w:rPr>
                <w:rFonts w:ascii="Arial" w:eastAsia="Times New Roman" w:hAnsi="Arial" w:cs="Arial"/>
                <w:sz w:val="24"/>
                <w:szCs w:val="24"/>
                <w:lang w:eastAsia="es-ES"/>
              </w:rPr>
              <w:t>.</w:t>
            </w:r>
          </w:p>
          <w:p w:rsidR="006D07F7" w:rsidRDefault="006D07F7"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p>
          <w:p w:rsidR="006D07F7" w:rsidRDefault="006D07F7"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ES_tradnl" w:eastAsia="es-ES"/>
              </w:rPr>
            </w:pPr>
            <w:r>
              <w:rPr>
                <w:rFonts w:ascii="Arial" w:eastAsia="Times New Roman" w:hAnsi="Arial" w:cs="Arial"/>
                <w:sz w:val="24"/>
                <w:szCs w:val="24"/>
                <w:lang w:eastAsia="es-ES"/>
              </w:rPr>
              <w:t xml:space="preserve">De forma específica, la norma precisa que </w:t>
            </w:r>
            <w:r>
              <w:rPr>
                <w:rFonts w:ascii="Arial" w:eastAsia="Times New Roman" w:hAnsi="Arial" w:cs="Arial"/>
                <w:sz w:val="24"/>
                <w:szCs w:val="24"/>
                <w:lang w:val="es-ES_tradnl" w:eastAsia="es-ES"/>
              </w:rPr>
              <w:t>la</w:t>
            </w:r>
            <w:r w:rsidRPr="00190255">
              <w:rPr>
                <w:rFonts w:ascii="Arial" w:eastAsia="Times New Roman" w:hAnsi="Arial" w:cs="Arial"/>
                <w:sz w:val="24"/>
                <w:szCs w:val="24"/>
                <w:lang w:val="es-ES_tradnl" w:eastAsia="es-ES"/>
              </w:rPr>
              <w:t xml:space="preserve"> información confidencial</w:t>
            </w:r>
            <w:r>
              <w:rPr>
                <w:rFonts w:ascii="Arial" w:eastAsia="Times New Roman" w:hAnsi="Arial" w:cs="Arial"/>
                <w:sz w:val="24"/>
                <w:szCs w:val="24"/>
                <w:lang w:val="es-ES_tradnl" w:eastAsia="es-ES"/>
              </w:rPr>
              <w:t xml:space="preserve"> comprende:</w:t>
            </w:r>
          </w:p>
          <w:p w:rsidR="006D07F7" w:rsidRDefault="006D07F7"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ES_tradnl" w:eastAsia="es-ES"/>
              </w:rPr>
            </w:pPr>
          </w:p>
          <w:p w:rsidR="006D07F7" w:rsidRPr="003D6944" w:rsidRDefault="006D07F7" w:rsidP="006D07F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sidRPr="003D6944">
              <w:rPr>
                <w:rFonts w:ascii="Arial" w:eastAsia="Times New Roman" w:hAnsi="Arial" w:cs="Arial"/>
                <w:sz w:val="24"/>
                <w:szCs w:val="24"/>
                <w:lang w:val="es-ES_tradnl" w:eastAsia="es-ES"/>
              </w:rPr>
              <w:t xml:space="preserve">Los secretos bancario, fiduciario, industrial, comercial, fiscal, bursátil y postal, cuya titularidad corresponda a particulares, sujetos de derecho internacional o a sujetos obligados cuando </w:t>
            </w:r>
            <w:r w:rsidRPr="003D6944">
              <w:rPr>
                <w:rFonts w:ascii="Arial" w:eastAsia="Times New Roman" w:hAnsi="Arial" w:cs="Arial"/>
                <w:b/>
                <w:sz w:val="24"/>
                <w:szCs w:val="24"/>
                <w:lang w:val="es-ES_tradnl" w:eastAsia="es-ES"/>
              </w:rPr>
              <w:t>no</w:t>
            </w:r>
            <w:r w:rsidRPr="003D6944">
              <w:rPr>
                <w:rFonts w:ascii="Arial" w:eastAsia="Times New Roman" w:hAnsi="Arial" w:cs="Arial"/>
                <w:sz w:val="24"/>
                <w:szCs w:val="24"/>
                <w:lang w:val="es-ES_tradnl" w:eastAsia="es-ES"/>
              </w:rPr>
              <w:t xml:space="preserve"> involucren el</w:t>
            </w:r>
            <w:r>
              <w:rPr>
                <w:rFonts w:ascii="Arial" w:eastAsia="Times New Roman" w:hAnsi="Arial" w:cs="Arial"/>
                <w:sz w:val="24"/>
                <w:szCs w:val="24"/>
                <w:lang w:val="es-ES_tradnl" w:eastAsia="es-ES"/>
              </w:rPr>
              <w:t xml:space="preserve"> ejercicio de recursos públicos, y</w:t>
            </w:r>
          </w:p>
          <w:p w:rsidR="006D07F7" w:rsidRPr="003D6944" w:rsidRDefault="006D07F7" w:rsidP="006D07F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ES_tradnl" w:eastAsia="es-ES"/>
              </w:rPr>
              <w:t>A</w:t>
            </w:r>
            <w:r w:rsidRPr="003D6944">
              <w:rPr>
                <w:rFonts w:ascii="Arial" w:eastAsia="Times New Roman" w:hAnsi="Arial" w:cs="Arial"/>
                <w:sz w:val="24"/>
                <w:szCs w:val="24"/>
                <w:lang w:val="es-ES_tradnl" w:eastAsia="es-ES"/>
              </w:rPr>
              <w:t>quella que presenten los particulares a los sujetos obligados, siempre que tengan el derecho a ello, de conformidad con lo dispuesto por las leyes o los tratados internacionales.</w:t>
            </w:r>
          </w:p>
          <w:p w:rsidR="00123C94" w:rsidRDefault="00123C94"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24"/>
                <w:szCs w:val="24"/>
                <w:lang w:val="es-ES_tradnl"/>
              </w:rPr>
            </w:pPr>
          </w:p>
          <w:p w:rsidR="006D07F7" w:rsidRDefault="006D07F7"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ES_tradnl" w:eastAsia="es-ES"/>
              </w:rPr>
              <w:t>E</w:t>
            </w:r>
            <w:r>
              <w:rPr>
                <w:rFonts w:ascii="Arial" w:eastAsia="Times New Roman" w:hAnsi="Arial" w:cs="Arial"/>
                <w:sz w:val="24"/>
                <w:szCs w:val="24"/>
                <w:lang w:val="es-MX" w:eastAsia="es-ES"/>
              </w:rPr>
              <w:t xml:space="preserve">l artículo 120 de la Ley General de Transparencia y Acceso a la Información Pública dispone que se </w:t>
            </w:r>
            <w:r w:rsidRPr="006D07F7">
              <w:rPr>
                <w:rFonts w:ascii="Arial" w:eastAsia="Times New Roman" w:hAnsi="Arial" w:cs="Arial"/>
                <w:b/>
                <w:sz w:val="24"/>
                <w:szCs w:val="24"/>
                <w:lang w:val="es-MX" w:eastAsia="es-ES"/>
              </w:rPr>
              <w:t>requiere contar con el consentimiento expreso</w:t>
            </w:r>
            <w:r w:rsidRPr="006D07F7">
              <w:rPr>
                <w:rFonts w:ascii="Arial" w:eastAsia="Times New Roman" w:hAnsi="Arial" w:cs="Arial"/>
                <w:sz w:val="24"/>
                <w:szCs w:val="24"/>
                <w:lang w:val="es-MX" w:eastAsia="es-ES"/>
              </w:rPr>
              <w:t xml:space="preserve"> de los particulares </w:t>
            </w:r>
            <w:r>
              <w:rPr>
                <w:rFonts w:ascii="Arial" w:eastAsia="Times New Roman" w:hAnsi="Arial" w:cs="Arial"/>
                <w:sz w:val="24"/>
                <w:szCs w:val="24"/>
                <w:lang w:val="es-MX" w:eastAsia="es-ES"/>
              </w:rPr>
              <w:t xml:space="preserve">(titulares de la información), </w:t>
            </w:r>
            <w:r w:rsidRPr="006D07F7">
              <w:rPr>
                <w:rFonts w:ascii="Arial" w:eastAsia="Times New Roman" w:hAnsi="Arial" w:cs="Arial"/>
                <w:sz w:val="24"/>
                <w:szCs w:val="24"/>
                <w:lang w:val="es-MX" w:eastAsia="es-ES"/>
              </w:rPr>
              <w:t>para dar acceso a su información</w:t>
            </w:r>
            <w:r>
              <w:rPr>
                <w:rFonts w:ascii="Arial" w:eastAsia="Times New Roman" w:hAnsi="Arial" w:cs="Arial"/>
                <w:sz w:val="24"/>
                <w:szCs w:val="24"/>
                <w:lang w:val="es-MX" w:eastAsia="es-ES"/>
              </w:rPr>
              <w:t xml:space="preserve"> confidencial.</w:t>
            </w:r>
          </w:p>
          <w:p w:rsidR="002675AE" w:rsidRDefault="002675AE"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p>
          <w:p w:rsidR="002675AE" w:rsidRDefault="002675AE"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Para considerar que la información de carácter comercial o industrial es susceptible de clasificación, ésta debe encuadrar en los supuestos establecidos en el artículo 116 de la </w:t>
            </w:r>
            <w:r w:rsidRPr="00387DE2">
              <w:rPr>
                <w:rFonts w:ascii="Arial" w:eastAsia="Times New Roman" w:hAnsi="Arial" w:cs="Arial"/>
                <w:i/>
                <w:iCs/>
                <w:sz w:val="24"/>
                <w:szCs w:val="24"/>
              </w:rPr>
              <w:t>Ley General de Transparencia y Acceso a la Información Pública</w:t>
            </w:r>
            <w:r>
              <w:rPr>
                <w:rFonts w:ascii="Arial" w:eastAsia="Times New Roman" w:hAnsi="Arial" w:cs="Arial"/>
                <w:iCs/>
                <w:sz w:val="24"/>
                <w:szCs w:val="24"/>
              </w:rPr>
              <w:t xml:space="preserve"> y en los numerales </w:t>
            </w:r>
            <w:r w:rsidRPr="00387DE2">
              <w:rPr>
                <w:rFonts w:ascii="Arial" w:eastAsia="Times New Roman" w:hAnsi="Arial" w:cs="Arial"/>
                <w:iCs/>
                <w:sz w:val="24"/>
                <w:szCs w:val="24"/>
              </w:rPr>
              <w:t xml:space="preserve">trigésimo octavo, </w:t>
            </w:r>
            <w:r w:rsidRPr="00D61D03">
              <w:rPr>
                <w:rFonts w:ascii="Arial" w:eastAsia="Times New Roman" w:hAnsi="Arial" w:cs="Arial"/>
                <w:iCs/>
                <w:sz w:val="24"/>
                <w:szCs w:val="24"/>
              </w:rPr>
              <w:t>cuadragésimo</w:t>
            </w:r>
            <w:r>
              <w:rPr>
                <w:rFonts w:ascii="Arial" w:eastAsia="Times New Roman" w:hAnsi="Arial" w:cs="Arial"/>
                <w:iCs/>
                <w:sz w:val="24"/>
                <w:szCs w:val="24"/>
              </w:rPr>
              <w:t xml:space="preserve"> y </w:t>
            </w:r>
            <w:r w:rsidRPr="00D61D03">
              <w:rPr>
                <w:rFonts w:ascii="Arial" w:eastAsia="Times New Roman" w:hAnsi="Arial" w:cs="Arial"/>
                <w:iCs/>
                <w:sz w:val="24"/>
                <w:szCs w:val="24"/>
              </w:rPr>
              <w:t>cuadragésimo</w:t>
            </w:r>
            <w:r>
              <w:rPr>
                <w:rFonts w:ascii="Arial" w:eastAsia="Times New Roman" w:hAnsi="Arial" w:cs="Arial"/>
                <w:iCs/>
                <w:sz w:val="24"/>
                <w:szCs w:val="24"/>
              </w:rPr>
              <w:t xml:space="preserve"> cuarto</w:t>
            </w:r>
            <w:r w:rsidRPr="00D61D03">
              <w:rPr>
                <w:rFonts w:ascii="Arial" w:eastAsia="Times New Roman" w:hAnsi="Arial" w:cs="Arial"/>
                <w:iCs/>
                <w:sz w:val="24"/>
                <w:szCs w:val="24"/>
              </w:rPr>
              <w:t xml:space="preserve"> </w:t>
            </w:r>
            <w:r w:rsidRPr="00387DE2">
              <w:rPr>
                <w:rFonts w:ascii="Arial" w:eastAsia="Times New Roman" w:hAnsi="Arial" w:cs="Arial"/>
                <w:iCs/>
                <w:sz w:val="24"/>
                <w:szCs w:val="24"/>
              </w:rPr>
              <w:t xml:space="preserve">de </w:t>
            </w:r>
            <w:r w:rsidRPr="00D61D03">
              <w:rPr>
                <w:rFonts w:ascii="Arial" w:eastAsia="Times New Roman" w:hAnsi="Arial" w:cs="Arial"/>
                <w:i/>
                <w:iCs/>
                <w:sz w:val="24"/>
                <w:szCs w:val="24"/>
              </w:rPr>
              <w:t>los Lineamientos generales en materia de clasificación y desclasificación de la información, así como para la elaboración de versiones públicas</w:t>
            </w:r>
            <w:r>
              <w:rPr>
                <w:rFonts w:ascii="Arial" w:eastAsia="Times New Roman" w:hAnsi="Arial" w:cs="Arial"/>
                <w:i/>
                <w:iCs/>
                <w:sz w:val="24"/>
                <w:szCs w:val="24"/>
              </w:rPr>
              <w:t>.</w:t>
            </w:r>
          </w:p>
          <w:p w:rsidR="002675AE" w:rsidRDefault="002675AE" w:rsidP="006D07F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iCs/>
                <w:sz w:val="20"/>
                <w:szCs w:val="24"/>
              </w:rPr>
              <w:t>“</w:t>
            </w:r>
            <w:r w:rsidRPr="002675AE">
              <w:rPr>
                <w:rFonts w:ascii="Arial" w:eastAsia="Times New Roman" w:hAnsi="Arial" w:cs="Arial"/>
                <w:b/>
                <w:iCs/>
                <w:sz w:val="20"/>
                <w:szCs w:val="24"/>
              </w:rPr>
              <w:t xml:space="preserve">Trigésimo octavo. </w:t>
            </w:r>
            <w:r w:rsidRPr="002675AE">
              <w:rPr>
                <w:rFonts w:ascii="Arial" w:eastAsia="Times New Roman" w:hAnsi="Arial" w:cs="Arial"/>
                <w:iCs/>
                <w:sz w:val="20"/>
                <w:szCs w:val="24"/>
              </w:rPr>
              <w:t>Se considera información confidencial:</w:t>
            </w: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 </w:t>
            </w:r>
            <w:r w:rsidRPr="002675AE">
              <w:rPr>
                <w:rFonts w:ascii="Arial" w:eastAsia="Times New Roman" w:hAnsi="Arial" w:cs="Arial"/>
                <w:iCs/>
                <w:sz w:val="20"/>
                <w:szCs w:val="24"/>
              </w:rPr>
              <w:t>Los datos personales en los términos de la norma aplicable;</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lastRenderedPageBreak/>
              <w:t xml:space="preserve">II. </w:t>
            </w:r>
            <w:r w:rsidRPr="002675AE">
              <w:rPr>
                <w:rFonts w:ascii="Arial" w:eastAsia="Times New Roman" w:hAnsi="Arial" w:cs="Arial"/>
                <w:iCs/>
                <w:sz w:val="20"/>
                <w:szCs w:val="24"/>
              </w:rPr>
              <w:t>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III. </w:t>
            </w:r>
            <w:r w:rsidRPr="002675AE">
              <w:rPr>
                <w:rFonts w:ascii="Arial" w:eastAsia="Times New Roman" w:hAnsi="Arial" w:cs="Arial"/>
                <w:iCs/>
                <w:sz w:val="20"/>
                <w:szCs w:val="24"/>
              </w:rPr>
              <w:t>Los secretos bancario, fiduciario, industrial, comercial, fiscal, bursátil y postal cuya titularidad corresponda a particulares, sujetos de derecho internacional o a sujetos obligados cuando no involucren el ejercicio de recursos públicos.</w:t>
            </w: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iCs/>
                <w:sz w:val="20"/>
                <w:szCs w:val="24"/>
              </w:rPr>
              <w:t>[…]</w:t>
            </w: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Cuadragésimo.</w:t>
            </w:r>
            <w:r w:rsidRPr="002675AE">
              <w:rPr>
                <w:rFonts w:ascii="Arial" w:eastAsia="Times New Roman" w:hAnsi="Arial" w:cs="Arial"/>
                <w:iCs/>
                <w:sz w:val="20"/>
                <w:szCs w:val="24"/>
              </w:rPr>
              <w:t xml:space="preserve"> En relación con el último párrafo del artículo 116 de la Ley General, para clasificar la información por confidencialidad, </w:t>
            </w:r>
            <w:r w:rsidRPr="002675AE">
              <w:rPr>
                <w:rFonts w:ascii="Arial" w:eastAsia="Times New Roman" w:hAnsi="Arial" w:cs="Arial"/>
                <w:b/>
                <w:iCs/>
                <w:sz w:val="20"/>
                <w:szCs w:val="24"/>
              </w:rPr>
              <w:t>no será suficiente que los particulares la hayan entregado con ese carácter ya que los sujetos obligados deberán determinar si aquéllos son titulares de la información y si tienen el derecho de que se considere clasificada, debiendo fundar y motivar la confidencialidad</w:t>
            </w:r>
            <w:r w:rsidRPr="002675AE">
              <w:rPr>
                <w:rFonts w:ascii="Arial" w:eastAsia="Times New Roman" w:hAnsi="Arial" w:cs="Arial"/>
                <w:iCs/>
                <w:sz w:val="20"/>
                <w:szCs w:val="24"/>
              </w:rPr>
              <w:t>. La información que podrá actualizar este supuesto, entre otra, es la siguiente:</w:t>
            </w: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 </w:t>
            </w:r>
            <w:r w:rsidRPr="002675AE">
              <w:rPr>
                <w:rFonts w:ascii="Arial" w:eastAsia="Times New Roman" w:hAnsi="Arial" w:cs="Arial"/>
                <w:iCs/>
                <w:sz w:val="20"/>
                <w:szCs w:val="24"/>
              </w:rPr>
              <w:t>La que se refiera al patrimonio de una persona moral, y</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II. </w:t>
            </w:r>
            <w:r w:rsidRPr="002675AE">
              <w:rPr>
                <w:rFonts w:ascii="Arial" w:eastAsia="Times New Roman" w:hAnsi="Arial" w:cs="Arial"/>
                <w:iCs/>
                <w:sz w:val="20"/>
                <w:szCs w:val="24"/>
              </w:rPr>
              <w:t>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iCs/>
                <w:sz w:val="20"/>
                <w:szCs w:val="24"/>
              </w:rPr>
              <w:t>[…]</w:t>
            </w: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p>
          <w:p w:rsidR="002675AE" w:rsidRPr="002675AE" w:rsidRDefault="002675AE" w:rsidP="002675AE">
            <w:pPr>
              <w:spacing w:line="276" w:lineRule="auto"/>
              <w:ind w:left="34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Cuadragésimo cuarto.</w:t>
            </w:r>
            <w:r w:rsidRPr="002675AE">
              <w:rPr>
                <w:rFonts w:ascii="Arial" w:eastAsia="Times New Roman" w:hAnsi="Arial" w:cs="Arial"/>
                <w:iCs/>
                <w:sz w:val="20"/>
                <w:szCs w:val="24"/>
              </w:rPr>
              <w:t xml:space="preserve"> De conformidad con el artículo 116, párrafo tercero de la Ley General, </w:t>
            </w:r>
            <w:r w:rsidRPr="002675AE">
              <w:rPr>
                <w:rFonts w:ascii="Arial" w:eastAsia="Times New Roman" w:hAnsi="Arial" w:cs="Arial"/>
                <w:b/>
                <w:iCs/>
                <w:sz w:val="20"/>
                <w:szCs w:val="24"/>
              </w:rPr>
              <w:t>para clasificar la información por secreto comercial o industrial</w:t>
            </w:r>
            <w:r w:rsidRPr="002675AE">
              <w:rPr>
                <w:rFonts w:ascii="Arial" w:eastAsia="Times New Roman" w:hAnsi="Arial" w:cs="Arial"/>
                <w:iCs/>
                <w:sz w:val="20"/>
                <w:szCs w:val="24"/>
              </w:rPr>
              <w:t xml:space="preserve"> deberán acreditarse los supuestos siguientes:</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 </w:t>
            </w:r>
            <w:r w:rsidRPr="002675AE">
              <w:rPr>
                <w:rFonts w:ascii="Arial" w:eastAsia="Times New Roman" w:hAnsi="Arial" w:cs="Arial"/>
                <w:iCs/>
                <w:sz w:val="20"/>
                <w:szCs w:val="24"/>
              </w:rPr>
              <w:t>Que se trate de información generada con motivo de actividades industriales o comerciales de su titular, en términos de lo dispuesto en la Ley de Propiedad Industrial;</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II. </w:t>
            </w:r>
            <w:r w:rsidRPr="00896725">
              <w:rPr>
                <w:rFonts w:ascii="Arial" w:eastAsia="Times New Roman" w:hAnsi="Arial" w:cs="Arial"/>
                <w:iCs/>
                <w:sz w:val="20"/>
                <w:szCs w:val="24"/>
                <w:highlight w:val="yellow"/>
              </w:rPr>
              <w:t>Que la información sea guardada con carácter de confidencial y se hayan adoptado los medios o sistemas para preservarla</w:t>
            </w:r>
            <w:bookmarkStart w:id="0" w:name="_GoBack"/>
            <w:bookmarkEnd w:id="0"/>
            <w:r w:rsidRPr="002675AE">
              <w:rPr>
                <w:rFonts w:ascii="Arial" w:eastAsia="Times New Roman" w:hAnsi="Arial" w:cs="Arial"/>
                <w:iCs/>
                <w:sz w:val="20"/>
                <w:szCs w:val="24"/>
              </w:rPr>
              <w:t>;</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t xml:space="preserve">III. </w:t>
            </w:r>
            <w:r w:rsidRPr="002675AE">
              <w:rPr>
                <w:rFonts w:ascii="Arial" w:eastAsia="Times New Roman" w:hAnsi="Arial" w:cs="Arial"/>
                <w:iCs/>
                <w:sz w:val="20"/>
                <w:szCs w:val="24"/>
              </w:rPr>
              <w:t>Que la información signifique a su titular obtener o mantener una ventaja competitiva o económica frente a terceros, y</w:t>
            </w:r>
          </w:p>
          <w:p w:rsid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4"/>
              </w:rPr>
            </w:pPr>
            <w:r w:rsidRPr="002675AE">
              <w:rPr>
                <w:rFonts w:ascii="Arial" w:eastAsia="Times New Roman" w:hAnsi="Arial" w:cs="Arial"/>
                <w:b/>
                <w:iCs/>
                <w:sz w:val="20"/>
                <w:szCs w:val="24"/>
              </w:rPr>
              <w:lastRenderedPageBreak/>
              <w:t xml:space="preserve">IV. </w:t>
            </w:r>
            <w:r w:rsidRPr="002675AE">
              <w:rPr>
                <w:rFonts w:ascii="Arial" w:eastAsia="Times New Roman" w:hAnsi="Arial" w:cs="Arial"/>
                <w:iCs/>
                <w:sz w:val="20"/>
                <w:szCs w:val="24"/>
              </w:rPr>
              <w:t>Que la información no sea del dominio público ni resulte evidente para un técnico o perito en la materia, con base en la información previamente disponible o la que deba ser divulgada por disposición legal o por orden judicial.”</w:t>
            </w:r>
          </w:p>
          <w:p w:rsidR="002675AE" w:rsidRPr="002675AE" w:rsidRDefault="002675AE" w:rsidP="002675AE">
            <w:pPr>
              <w:spacing w:line="276" w:lineRule="auto"/>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Cs w:val="24"/>
              </w:rPr>
            </w:pPr>
            <w:r w:rsidRPr="002675AE">
              <w:rPr>
                <w:rFonts w:ascii="Arial" w:eastAsia="Times New Roman" w:hAnsi="Arial" w:cs="Arial"/>
                <w:iCs/>
                <w:sz w:val="20"/>
                <w:szCs w:val="24"/>
              </w:rPr>
              <w:t>[Énfasis añadido]</w:t>
            </w:r>
          </w:p>
        </w:tc>
      </w:tr>
      <w:tr w:rsidR="002963F9" w:rsidRPr="008F4832" w:rsidTr="00123C94">
        <w:trPr>
          <w:trHeight w:val="1107"/>
        </w:trPr>
        <w:tc>
          <w:tcPr>
            <w:cnfStyle w:val="001000000000" w:firstRow="0" w:lastRow="0" w:firstColumn="1" w:lastColumn="0" w:oddVBand="0" w:evenVBand="0" w:oddHBand="0" w:evenHBand="0" w:firstRowFirstColumn="0" w:firstRowLastColumn="0" w:lastRowFirstColumn="0" w:lastRowLastColumn="0"/>
            <w:tcW w:w="1166" w:type="pct"/>
            <w:vMerge/>
            <w:vAlign w:val="center"/>
          </w:tcPr>
          <w:p w:rsidR="002963F9" w:rsidRDefault="002963F9" w:rsidP="008F4832">
            <w:pPr>
              <w:jc w:val="center"/>
              <w:rPr>
                <w:rFonts w:ascii="Arial" w:eastAsia="Calibri" w:hAnsi="Arial" w:cs="Arial"/>
                <w:smallCaps/>
                <w:sz w:val="24"/>
                <w:szCs w:val="24"/>
                <w:lang w:val="es-MX"/>
              </w:rPr>
            </w:pPr>
          </w:p>
        </w:tc>
        <w:tc>
          <w:tcPr>
            <w:tcW w:w="3834" w:type="pct"/>
            <w:vAlign w:val="center"/>
          </w:tcPr>
          <w:p w:rsidR="002963F9" w:rsidRDefault="00123C94" w:rsidP="00123C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23C94">
              <w:rPr>
                <w:rFonts w:ascii="Arial" w:eastAsia="Times New Roman" w:hAnsi="Arial" w:cs="Arial"/>
                <w:b/>
                <w:iCs/>
                <w:sz w:val="24"/>
                <w:szCs w:val="24"/>
                <w:lang w:val="es-MX"/>
              </w:rPr>
              <w:t>Perú</w:t>
            </w:r>
            <w:r>
              <w:rPr>
                <w:rFonts w:ascii="Arial" w:eastAsia="Times New Roman" w:hAnsi="Arial" w:cs="Arial"/>
                <w:iCs/>
                <w:sz w:val="24"/>
                <w:szCs w:val="24"/>
                <w:lang w:val="es-MX"/>
              </w:rPr>
              <w:t>:</w:t>
            </w:r>
          </w:p>
          <w:p w:rsidR="00C67785" w:rsidRPr="002E78E5" w:rsidRDefault="00C67785" w:rsidP="00C677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hAnsi="Arial" w:cs="Arial"/>
                <w:sz w:val="24"/>
                <w:szCs w:val="24"/>
                <w:shd w:val="clear" w:color="auto" w:fill="FFFFFF"/>
                <w:lang w:val="es-MX"/>
              </w:rPr>
              <w:t>E</w:t>
            </w:r>
            <w:r w:rsidRPr="00124486">
              <w:rPr>
                <w:rFonts w:ascii="Arial" w:hAnsi="Arial" w:cs="Arial"/>
                <w:sz w:val="24"/>
                <w:szCs w:val="24"/>
                <w:shd w:val="clear" w:color="auto" w:fill="FFFFFF"/>
              </w:rPr>
              <w:t xml:space="preserve">l Texto Único Ordenado de la Ley de Transparencia y Acceso a la Información Pública, Ley Nº 27806, precisa que se considera información confidencial, y por ende, el derecho de acceso a la información pública no podrá ser ejercido, respecto a la «información protegida por el </w:t>
            </w:r>
            <w:r w:rsidRPr="00124486">
              <w:rPr>
                <w:rFonts w:ascii="Arial" w:hAnsi="Arial" w:cs="Arial"/>
                <w:b/>
                <w:sz w:val="24"/>
                <w:szCs w:val="24"/>
                <w:shd w:val="clear" w:color="auto" w:fill="FFFFFF"/>
              </w:rPr>
              <w:t>secreto bancario, tributario, comercial, industrial, tecnológico y bursátil</w:t>
            </w:r>
            <w:r w:rsidRPr="00124486">
              <w:rPr>
                <w:rFonts w:ascii="Arial" w:hAnsi="Arial" w:cs="Arial"/>
                <w:sz w:val="24"/>
                <w:szCs w:val="24"/>
                <w:shd w:val="clear" w:color="auto" w:fill="FFFFFF"/>
              </w:rPr>
              <w:t xml:space="preserve"> que están regulados, unos por el inciso 5 del artículo 2 de la Constitución, y los demás por la legislación pertinente.» (artículo 17.2)</w:t>
            </w:r>
            <w:r>
              <w:rPr>
                <w:rFonts w:ascii="Arial" w:hAnsi="Arial" w:cs="Arial"/>
                <w:sz w:val="24"/>
                <w:szCs w:val="24"/>
                <w:shd w:val="clear" w:color="auto" w:fill="FFFFFF"/>
              </w:rPr>
              <w:t>.</w:t>
            </w:r>
          </w:p>
          <w:p w:rsidR="002E78E5" w:rsidRPr="002E78E5" w:rsidRDefault="002E78E5" w:rsidP="00C677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5F645C">
              <w:rPr>
                <w:rFonts w:ascii="Arial" w:eastAsia="Times New Roman" w:hAnsi="Arial" w:cs="Arial"/>
                <w:sz w:val="24"/>
                <w:szCs w:val="24"/>
                <w:lang w:eastAsia="es-ES"/>
              </w:rPr>
              <w:t xml:space="preserve">La información solicitada debe encontrarse </w:t>
            </w:r>
            <w:r w:rsidRPr="005F645C">
              <w:rPr>
                <w:rFonts w:ascii="Arial" w:eastAsia="Times New Roman" w:hAnsi="Arial" w:cs="Arial"/>
                <w:b/>
                <w:sz w:val="24"/>
                <w:szCs w:val="24"/>
                <w:lang w:eastAsia="es-ES"/>
              </w:rPr>
              <w:t xml:space="preserve">dentro del régimen de las excepciones </w:t>
            </w:r>
            <w:r w:rsidRPr="005F645C">
              <w:rPr>
                <w:rFonts w:ascii="Arial" w:eastAsia="Times New Roman" w:hAnsi="Arial" w:cs="Arial"/>
                <w:sz w:val="24"/>
                <w:szCs w:val="24"/>
                <w:lang w:eastAsia="es-ES"/>
              </w:rPr>
              <w:t>expresamente contempladas en los artículos 15º, 16º y 17º del TUO de la Ley Nº 27806. De ahí que, al no encontrarse protegida por las excepciones legales, la información solicitada es pública.</w:t>
            </w:r>
          </w:p>
          <w:p w:rsidR="002E78E5" w:rsidRPr="0090351F" w:rsidRDefault="0090351F" w:rsidP="00C677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5F645C">
              <w:rPr>
                <w:rFonts w:ascii="Arial" w:eastAsia="Times New Roman" w:hAnsi="Arial" w:cs="Arial"/>
                <w:sz w:val="24"/>
                <w:szCs w:val="24"/>
                <w:lang w:eastAsia="es-ES"/>
              </w:rPr>
              <w:t xml:space="preserve">La entidad debe </w:t>
            </w:r>
            <w:r w:rsidRPr="005F645C">
              <w:rPr>
                <w:rFonts w:ascii="Arial" w:eastAsia="Times New Roman" w:hAnsi="Arial" w:cs="Arial"/>
                <w:b/>
                <w:sz w:val="24"/>
                <w:szCs w:val="24"/>
                <w:lang w:eastAsia="es-ES"/>
              </w:rPr>
              <w:t>probar que el daño</w:t>
            </w:r>
            <w:r w:rsidRPr="005F645C">
              <w:rPr>
                <w:rFonts w:ascii="Arial" w:eastAsia="Times New Roman" w:hAnsi="Arial" w:cs="Arial"/>
                <w:sz w:val="24"/>
                <w:szCs w:val="24"/>
                <w:lang w:eastAsia="es-ES"/>
              </w:rPr>
              <w:t xml:space="preserve"> por divulgar la información es mayor al daño ocasionado por negarle al público conocer la información. (</w:t>
            </w:r>
            <w:proofErr w:type="spellStart"/>
            <w:r w:rsidRPr="005F645C">
              <w:rPr>
                <w:rFonts w:ascii="Arial" w:eastAsia="Times New Roman" w:hAnsi="Arial" w:cs="Arial"/>
                <w:sz w:val="24"/>
                <w:szCs w:val="24"/>
                <w:lang w:eastAsia="es-ES"/>
              </w:rPr>
              <w:t>Exp</w:t>
            </w:r>
            <w:proofErr w:type="spellEnd"/>
            <w:r w:rsidRPr="005F645C">
              <w:rPr>
                <w:rFonts w:ascii="Arial" w:eastAsia="Times New Roman" w:hAnsi="Arial" w:cs="Arial"/>
                <w:sz w:val="24"/>
                <w:szCs w:val="24"/>
                <w:lang w:eastAsia="es-ES"/>
              </w:rPr>
              <w:t>. Nº 04729-2011-PHD/TC, F.J. 15)</w:t>
            </w:r>
            <w:r>
              <w:rPr>
                <w:rFonts w:ascii="Arial" w:eastAsia="Times New Roman" w:hAnsi="Arial" w:cs="Arial"/>
                <w:sz w:val="24"/>
                <w:szCs w:val="24"/>
                <w:lang w:eastAsia="es-ES"/>
              </w:rPr>
              <w:t>.</w:t>
            </w:r>
          </w:p>
          <w:p w:rsidR="00842136" w:rsidRPr="00842136" w:rsidRDefault="00842136" w:rsidP="003C4D31">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842136">
              <w:rPr>
                <w:rFonts w:ascii="Arial" w:eastAsia="Times New Roman" w:hAnsi="Arial" w:cs="Arial"/>
                <w:iCs/>
                <w:sz w:val="24"/>
                <w:szCs w:val="24"/>
                <w:lang w:val="es-MX"/>
              </w:rPr>
              <w:t xml:space="preserve">Para establecer adecuadamente excepciones al derecho de </w:t>
            </w:r>
            <w:r>
              <w:rPr>
                <w:rFonts w:ascii="Arial" w:eastAsia="Times New Roman" w:hAnsi="Arial" w:cs="Arial"/>
                <w:iCs/>
                <w:sz w:val="24"/>
                <w:szCs w:val="24"/>
                <w:lang w:val="es-MX"/>
              </w:rPr>
              <w:t>acceso a la información pública, és</w:t>
            </w:r>
            <w:r w:rsidRPr="00842136">
              <w:rPr>
                <w:rFonts w:ascii="Arial" w:eastAsia="Times New Roman" w:hAnsi="Arial" w:cs="Arial"/>
                <w:iCs/>
                <w:sz w:val="24"/>
                <w:szCs w:val="24"/>
                <w:lang w:val="es-MX"/>
              </w:rPr>
              <w:t>tas deben cumplir con lo siguiente :</w:t>
            </w:r>
          </w:p>
          <w:p w:rsidR="00842136" w:rsidRPr="00842136" w:rsidRDefault="00842136" w:rsidP="00842136">
            <w:pPr>
              <w:pStyle w:val="Prrafodelista"/>
              <w:numPr>
                <w:ilvl w:val="0"/>
                <w:numId w:val="7"/>
              </w:numPr>
              <w:ind w:left="1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842136">
              <w:rPr>
                <w:rFonts w:ascii="Arial" w:eastAsia="Times New Roman" w:hAnsi="Arial" w:cs="Arial"/>
                <w:iCs/>
                <w:sz w:val="24"/>
                <w:szCs w:val="24"/>
                <w:lang w:val="es-MX"/>
              </w:rPr>
              <w:t xml:space="preserve">Contenida de manera expresa en una </w:t>
            </w:r>
            <w:r w:rsidRPr="00842136">
              <w:rPr>
                <w:rFonts w:ascii="Arial" w:eastAsia="Times New Roman" w:hAnsi="Arial" w:cs="Arial"/>
                <w:b/>
                <w:iCs/>
                <w:sz w:val="24"/>
                <w:szCs w:val="24"/>
                <w:lang w:val="es-MX"/>
              </w:rPr>
              <w:t>ley</w:t>
            </w:r>
            <w:r>
              <w:rPr>
                <w:rFonts w:ascii="Arial" w:eastAsia="Times New Roman" w:hAnsi="Arial" w:cs="Arial"/>
                <w:iCs/>
                <w:sz w:val="24"/>
                <w:szCs w:val="24"/>
                <w:lang w:val="es-MX"/>
              </w:rPr>
              <w:t>;</w:t>
            </w:r>
          </w:p>
          <w:p w:rsidR="00842136" w:rsidRPr="00842136" w:rsidRDefault="00842136" w:rsidP="00842136">
            <w:pPr>
              <w:pStyle w:val="Prrafodelista"/>
              <w:numPr>
                <w:ilvl w:val="0"/>
                <w:numId w:val="7"/>
              </w:numPr>
              <w:ind w:left="1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842136">
              <w:rPr>
                <w:rFonts w:ascii="Arial" w:eastAsia="Times New Roman" w:hAnsi="Arial" w:cs="Arial"/>
                <w:iCs/>
                <w:sz w:val="24"/>
                <w:szCs w:val="24"/>
                <w:lang w:val="es-MX"/>
              </w:rPr>
              <w:t xml:space="preserve">Perseguir un </w:t>
            </w:r>
            <w:r w:rsidRPr="00842136">
              <w:rPr>
                <w:rFonts w:ascii="Arial" w:eastAsia="Times New Roman" w:hAnsi="Arial" w:cs="Arial"/>
                <w:b/>
                <w:iCs/>
                <w:sz w:val="24"/>
                <w:szCs w:val="24"/>
                <w:lang w:val="es-MX"/>
              </w:rPr>
              <w:t>fin legítimo</w:t>
            </w:r>
            <w:r>
              <w:rPr>
                <w:rFonts w:ascii="Arial" w:eastAsia="Times New Roman" w:hAnsi="Arial" w:cs="Arial"/>
                <w:iCs/>
                <w:sz w:val="24"/>
                <w:szCs w:val="24"/>
                <w:lang w:val="es-MX"/>
              </w:rPr>
              <w:t>, y</w:t>
            </w:r>
          </w:p>
          <w:p w:rsidR="0090351F" w:rsidRPr="00C67785" w:rsidRDefault="00842136" w:rsidP="00842136">
            <w:pPr>
              <w:pStyle w:val="Prrafodelista"/>
              <w:numPr>
                <w:ilvl w:val="0"/>
                <w:numId w:val="7"/>
              </w:numPr>
              <w:ind w:left="120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842136">
              <w:rPr>
                <w:rFonts w:ascii="Arial" w:eastAsia="Times New Roman" w:hAnsi="Arial" w:cs="Arial"/>
                <w:b/>
                <w:iCs/>
                <w:sz w:val="24"/>
                <w:szCs w:val="24"/>
                <w:lang w:val="es-MX"/>
              </w:rPr>
              <w:t>Ser necesaria y proporcionada</w:t>
            </w:r>
            <w:r w:rsidRPr="00842136">
              <w:rPr>
                <w:rFonts w:ascii="Arial" w:eastAsia="Times New Roman" w:hAnsi="Arial" w:cs="Arial"/>
                <w:iCs/>
                <w:sz w:val="24"/>
                <w:szCs w:val="24"/>
                <w:lang w:val="es-MX"/>
              </w:rPr>
              <w:t xml:space="preserve"> en una sociedad democrática</w:t>
            </w:r>
            <w:r>
              <w:rPr>
                <w:rFonts w:ascii="Arial" w:eastAsia="Times New Roman" w:hAnsi="Arial" w:cs="Arial"/>
                <w:iCs/>
                <w:sz w:val="24"/>
                <w:szCs w:val="24"/>
                <w:lang w:val="es-MX"/>
              </w:rPr>
              <w:t>.</w:t>
            </w:r>
          </w:p>
        </w:tc>
      </w:tr>
      <w:tr w:rsidR="002963F9" w:rsidRPr="008F4832" w:rsidTr="00123C94">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2963F9" w:rsidRPr="009E2A68" w:rsidRDefault="002963F9"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none" w:sz="0" w:space="0" w:color="auto"/>
              <w:bottom w:val="none" w:sz="0" w:space="0" w:color="auto"/>
              <w:right w:val="none" w:sz="0" w:space="0" w:color="auto"/>
            </w:tcBorders>
            <w:vAlign w:val="center"/>
          </w:tcPr>
          <w:p w:rsidR="002963F9" w:rsidRPr="00E95C82" w:rsidRDefault="00E95C82" w:rsidP="00E95C82">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E95C82">
              <w:rPr>
                <w:rFonts w:ascii="Arial" w:eastAsia="Times New Roman" w:hAnsi="Arial" w:cs="Arial"/>
                <w:iCs/>
                <w:sz w:val="24"/>
                <w:szCs w:val="24"/>
              </w:rPr>
              <w:t>La documentación con carácter comercial de terceros</w:t>
            </w:r>
            <w:r w:rsidR="002675AE" w:rsidRPr="00E95C82">
              <w:rPr>
                <w:rFonts w:ascii="Arial" w:eastAsia="Times New Roman" w:hAnsi="Arial" w:cs="Arial"/>
                <w:iCs/>
                <w:sz w:val="24"/>
                <w:szCs w:val="24"/>
              </w:rPr>
              <w:t xml:space="preserve"> </w:t>
            </w:r>
            <w:r w:rsidRPr="00E95C82">
              <w:rPr>
                <w:rFonts w:ascii="Arial" w:eastAsia="Times New Roman" w:hAnsi="Arial" w:cs="Arial"/>
                <w:iCs/>
                <w:sz w:val="24"/>
                <w:szCs w:val="24"/>
              </w:rPr>
              <w:t xml:space="preserve">y que ha sido proporcionada a los sujetos obligados en la materia de acceso a la información </w:t>
            </w:r>
            <w:r w:rsidRPr="00E95C82">
              <w:rPr>
                <w:rFonts w:ascii="Arial" w:eastAsia="Times New Roman" w:hAnsi="Arial" w:cs="Arial"/>
                <w:b/>
                <w:iCs/>
                <w:sz w:val="24"/>
                <w:szCs w:val="24"/>
              </w:rPr>
              <w:t>será considerada como confidencial</w:t>
            </w:r>
            <w:r w:rsidRPr="00E95C82">
              <w:rPr>
                <w:rFonts w:ascii="Arial" w:eastAsia="Times New Roman" w:hAnsi="Arial" w:cs="Arial"/>
                <w:iCs/>
                <w:sz w:val="24"/>
                <w:szCs w:val="24"/>
              </w:rPr>
              <w:t xml:space="preserve"> si ésta encuadra en los supuestos establecidos en el artículo 116 de la </w:t>
            </w:r>
            <w:r w:rsidRPr="00E95C82">
              <w:rPr>
                <w:rFonts w:ascii="Arial" w:eastAsia="Times New Roman" w:hAnsi="Arial" w:cs="Arial"/>
                <w:i/>
                <w:iCs/>
                <w:sz w:val="24"/>
                <w:szCs w:val="24"/>
              </w:rPr>
              <w:t>Ley General de Transparencia y Acceso a la Información Pública</w:t>
            </w:r>
            <w:r w:rsidRPr="00E95C82">
              <w:rPr>
                <w:rFonts w:ascii="Arial" w:eastAsia="Times New Roman" w:hAnsi="Arial" w:cs="Arial"/>
                <w:iCs/>
                <w:sz w:val="24"/>
                <w:szCs w:val="24"/>
              </w:rPr>
              <w:t xml:space="preserve"> y en los numerales trigésimo octavo, cuadragésimo y cuadragésimo cuarto de </w:t>
            </w:r>
            <w:r w:rsidRPr="00E95C82">
              <w:rPr>
                <w:rFonts w:ascii="Arial" w:eastAsia="Times New Roman" w:hAnsi="Arial" w:cs="Arial"/>
                <w:i/>
                <w:iCs/>
                <w:sz w:val="24"/>
                <w:szCs w:val="24"/>
              </w:rPr>
              <w:t>los Lineamientos generales en materia de clasificación y desclasificación de la información, así como para la elaboración de versiones públicas.</w:t>
            </w:r>
          </w:p>
          <w:p w:rsidR="00E95C82" w:rsidRPr="00E95C82" w:rsidRDefault="00E95C82" w:rsidP="00E95C82">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lastRenderedPageBreak/>
              <w:t xml:space="preserve">Se </w:t>
            </w:r>
            <w:r>
              <w:rPr>
                <w:rFonts w:ascii="Arial" w:eastAsia="Times New Roman" w:hAnsi="Arial" w:cs="Arial"/>
                <w:sz w:val="24"/>
                <w:szCs w:val="24"/>
                <w:lang w:val="es-MX" w:eastAsia="es-ES"/>
              </w:rPr>
              <w:t xml:space="preserve">debe </w:t>
            </w:r>
            <w:r w:rsidRPr="006D07F7">
              <w:rPr>
                <w:rFonts w:ascii="Arial" w:eastAsia="Times New Roman" w:hAnsi="Arial" w:cs="Arial"/>
                <w:b/>
                <w:sz w:val="24"/>
                <w:szCs w:val="24"/>
                <w:lang w:val="es-MX" w:eastAsia="es-ES"/>
              </w:rPr>
              <w:t>contar con el consentimiento expreso</w:t>
            </w:r>
            <w:r w:rsidRPr="006D07F7">
              <w:rPr>
                <w:rFonts w:ascii="Arial" w:eastAsia="Times New Roman" w:hAnsi="Arial" w:cs="Arial"/>
                <w:sz w:val="24"/>
                <w:szCs w:val="24"/>
                <w:lang w:val="es-MX" w:eastAsia="es-ES"/>
              </w:rPr>
              <w:t xml:space="preserve"> de los particulares </w:t>
            </w:r>
            <w:r>
              <w:rPr>
                <w:rFonts w:ascii="Arial" w:eastAsia="Times New Roman" w:hAnsi="Arial" w:cs="Arial"/>
                <w:sz w:val="24"/>
                <w:szCs w:val="24"/>
                <w:lang w:val="es-MX" w:eastAsia="es-ES"/>
              </w:rPr>
              <w:t xml:space="preserve">(titulares de la información), </w:t>
            </w:r>
            <w:r w:rsidRPr="006D07F7">
              <w:rPr>
                <w:rFonts w:ascii="Arial" w:eastAsia="Times New Roman" w:hAnsi="Arial" w:cs="Arial"/>
                <w:sz w:val="24"/>
                <w:szCs w:val="24"/>
                <w:lang w:val="es-MX" w:eastAsia="es-ES"/>
              </w:rPr>
              <w:t xml:space="preserve">para </w:t>
            </w:r>
            <w:r>
              <w:rPr>
                <w:rFonts w:ascii="Arial" w:eastAsia="Times New Roman" w:hAnsi="Arial" w:cs="Arial"/>
                <w:sz w:val="24"/>
                <w:szCs w:val="24"/>
                <w:lang w:val="es-MX" w:eastAsia="es-ES"/>
              </w:rPr>
              <w:t xml:space="preserve">poder </w:t>
            </w:r>
            <w:r w:rsidRPr="006D07F7">
              <w:rPr>
                <w:rFonts w:ascii="Arial" w:eastAsia="Times New Roman" w:hAnsi="Arial" w:cs="Arial"/>
                <w:sz w:val="24"/>
                <w:szCs w:val="24"/>
                <w:lang w:val="es-MX" w:eastAsia="es-ES"/>
              </w:rPr>
              <w:t xml:space="preserve">dar acceso a </w:t>
            </w:r>
            <w:r>
              <w:rPr>
                <w:rFonts w:ascii="Arial" w:eastAsia="Times New Roman" w:hAnsi="Arial" w:cs="Arial"/>
                <w:sz w:val="24"/>
                <w:szCs w:val="24"/>
                <w:lang w:val="es-MX" w:eastAsia="es-ES"/>
              </w:rPr>
              <w:t>la</w:t>
            </w:r>
            <w:r w:rsidRPr="006D07F7">
              <w:rPr>
                <w:rFonts w:ascii="Arial" w:eastAsia="Times New Roman" w:hAnsi="Arial" w:cs="Arial"/>
                <w:sz w:val="24"/>
                <w:szCs w:val="24"/>
                <w:lang w:val="es-MX" w:eastAsia="es-ES"/>
              </w:rPr>
              <w:t xml:space="preserve"> información</w:t>
            </w:r>
            <w:r>
              <w:rPr>
                <w:rFonts w:ascii="Arial" w:eastAsia="Times New Roman" w:hAnsi="Arial" w:cs="Arial"/>
                <w:sz w:val="24"/>
                <w:szCs w:val="24"/>
                <w:lang w:val="es-MX" w:eastAsia="es-ES"/>
              </w:rPr>
              <w:t xml:space="preserve"> confidencial que les concierne.</w:t>
            </w:r>
          </w:p>
          <w:p w:rsidR="00E95C82" w:rsidRDefault="00E95C82" w:rsidP="00E95C82">
            <w:pPr>
              <w:pStyle w:val="Prrafodelista"/>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E95C82">
              <w:rPr>
                <w:rFonts w:ascii="Arial" w:eastAsia="Times New Roman" w:hAnsi="Arial" w:cs="Arial"/>
                <w:iCs/>
                <w:sz w:val="24"/>
                <w:szCs w:val="24"/>
              </w:rPr>
              <w:t xml:space="preserve">Para clasificar la información por confidencialidad, </w:t>
            </w:r>
            <w:r w:rsidRPr="00E95C82">
              <w:rPr>
                <w:rFonts w:ascii="Arial" w:eastAsia="Times New Roman" w:hAnsi="Arial" w:cs="Arial"/>
                <w:b/>
                <w:iCs/>
                <w:sz w:val="24"/>
                <w:szCs w:val="24"/>
              </w:rPr>
              <w:t>no</w:t>
            </w:r>
            <w:r w:rsidRPr="00E95C82">
              <w:rPr>
                <w:rFonts w:ascii="Arial" w:eastAsia="Times New Roman" w:hAnsi="Arial" w:cs="Arial"/>
                <w:iCs/>
                <w:sz w:val="24"/>
                <w:szCs w:val="24"/>
              </w:rPr>
              <w:t xml:space="preserve"> será suficiente que los particulares la hayan entregado con ese carácter ya que los sujetos obligados deberán determinar si aquéllos son titulares de la información y </w:t>
            </w:r>
            <w:r w:rsidRPr="00E95C82">
              <w:rPr>
                <w:rFonts w:ascii="Arial" w:eastAsia="Times New Roman" w:hAnsi="Arial" w:cs="Arial"/>
                <w:b/>
                <w:iCs/>
                <w:sz w:val="24"/>
                <w:szCs w:val="24"/>
              </w:rPr>
              <w:t>si tienen el derecho de que se considere clasificada</w:t>
            </w:r>
            <w:r w:rsidRPr="00E95C82">
              <w:rPr>
                <w:rFonts w:ascii="Arial" w:eastAsia="Times New Roman" w:hAnsi="Arial" w:cs="Arial"/>
                <w:iCs/>
                <w:sz w:val="24"/>
                <w:szCs w:val="24"/>
              </w:rPr>
              <w:t>, debiendo fundar y motivar la confidencialidad.</w:t>
            </w:r>
          </w:p>
          <w:p w:rsidR="00E95C82" w:rsidRPr="00E95C82" w:rsidRDefault="00E95C82" w:rsidP="00E95C82">
            <w:pPr>
              <w:pStyle w:val="Prrafodelista"/>
              <w:numPr>
                <w:ilvl w:val="0"/>
                <w:numId w:val="12"/>
              </w:numPr>
              <w:ind w:left="63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E95C82">
              <w:rPr>
                <w:rFonts w:ascii="Arial" w:eastAsia="Times New Roman" w:hAnsi="Arial" w:cs="Arial"/>
                <w:b/>
                <w:iCs/>
                <w:sz w:val="24"/>
                <w:szCs w:val="24"/>
              </w:rPr>
              <w:t>Para clasificar la información por secreto comercial o industrial</w:t>
            </w:r>
            <w:r w:rsidRPr="00E95C82">
              <w:rPr>
                <w:rFonts w:ascii="Arial" w:eastAsia="Times New Roman" w:hAnsi="Arial" w:cs="Arial"/>
                <w:iCs/>
                <w:sz w:val="24"/>
                <w:szCs w:val="24"/>
              </w:rPr>
              <w:t xml:space="preserve"> deberán acreditarse los supuestos siguientes: I</w:t>
            </w:r>
            <w:r w:rsidRPr="00E95C82">
              <w:rPr>
                <w:rFonts w:ascii="Arial" w:eastAsia="Times New Roman" w:hAnsi="Arial" w:cs="Arial"/>
                <w:b/>
                <w:iCs/>
                <w:sz w:val="24"/>
                <w:szCs w:val="24"/>
              </w:rPr>
              <w:t xml:space="preserve">. </w:t>
            </w:r>
            <w:r w:rsidRPr="00E95C82">
              <w:rPr>
                <w:rFonts w:ascii="Arial" w:eastAsia="Times New Roman" w:hAnsi="Arial" w:cs="Arial"/>
                <w:iCs/>
                <w:sz w:val="24"/>
                <w:szCs w:val="24"/>
              </w:rPr>
              <w:t xml:space="preserve">Que se trate de información generada con motivo de actividades industriales o comerciales de su titular. </w:t>
            </w:r>
            <w:r w:rsidRPr="00E95C82">
              <w:rPr>
                <w:rFonts w:ascii="Arial" w:eastAsia="Times New Roman" w:hAnsi="Arial" w:cs="Arial"/>
                <w:b/>
                <w:iCs/>
                <w:sz w:val="24"/>
                <w:szCs w:val="24"/>
              </w:rPr>
              <w:t xml:space="preserve">II. </w:t>
            </w:r>
            <w:r w:rsidRPr="00E95C82">
              <w:rPr>
                <w:rFonts w:ascii="Arial" w:eastAsia="Times New Roman" w:hAnsi="Arial" w:cs="Arial"/>
                <w:iCs/>
                <w:sz w:val="24"/>
                <w:szCs w:val="24"/>
              </w:rPr>
              <w:t xml:space="preserve">Que la información sea guardada con carácter de confidencial y se hayan adoptado los medios o sistemas para preservarla. </w:t>
            </w:r>
            <w:r w:rsidRPr="00E95C82">
              <w:rPr>
                <w:rFonts w:ascii="Arial" w:eastAsia="Times New Roman" w:hAnsi="Arial" w:cs="Arial"/>
                <w:b/>
                <w:iCs/>
                <w:sz w:val="24"/>
                <w:szCs w:val="24"/>
              </w:rPr>
              <w:t xml:space="preserve">III. </w:t>
            </w:r>
            <w:r w:rsidRPr="00E95C82">
              <w:rPr>
                <w:rFonts w:ascii="Arial" w:eastAsia="Times New Roman" w:hAnsi="Arial" w:cs="Arial"/>
                <w:iCs/>
                <w:sz w:val="24"/>
                <w:szCs w:val="24"/>
              </w:rPr>
              <w:t>Que la información signifique a su titular obtener o mantener una ventaja competitiva o económica frente a terceros, y</w:t>
            </w:r>
            <w:r>
              <w:rPr>
                <w:rFonts w:ascii="Arial" w:eastAsia="Times New Roman" w:hAnsi="Arial" w:cs="Arial"/>
                <w:iCs/>
                <w:sz w:val="24"/>
                <w:szCs w:val="24"/>
              </w:rPr>
              <w:t xml:space="preserve"> </w:t>
            </w:r>
            <w:r w:rsidRPr="00E95C82">
              <w:rPr>
                <w:rFonts w:ascii="Arial" w:eastAsia="Times New Roman" w:hAnsi="Arial" w:cs="Arial"/>
                <w:b/>
                <w:iCs/>
                <w:sz w:val="24"/>
                <w:szCs w:val="24"/>
              </w:rPr>
              <w:t xml:space="preserve">IV. </w:t>
            </w:r>
            <w:r w:rsidRPr="00E95C82">
              <w:rPr>
                <w:rFonts w:ascii="Arial" w:eastAsia="Times New Roman" w:hAnsi="Arial" w:cs="Arial"/>
                <w:iCs/>
                <w:sz w:val="24"/>
                <w:szCs w:val="24"/>
              </w:rPr>
              <w:t>Que la información no sea del dominio público ni resulte evidente para un técnico o perito en la materia, con base en la información previamente disponible o la que deba ser divulgada por disposición legal o por orden judicial</w:t>
            </w:r>
            <w:r>
              <w:rPr>
                <w:rFonts w:ascii="Arial" w:eastAsia="Times New Roman" w:hAnsi="Arial" w:cs="Arial"/>
                <w:iCs/>
                <w:sz w:val="24"/>
                <w:szCs w:val="24"/>
              </w:rPr>
              <w:t>.</w:t>
            </w:r>
          </w:p>
        </w:tc>
      </w:tr>
      <w:tr w:rsidR="00882082" w:rsidRPr="008F4832" w:rsidTr="00123C94">
        <w:trPr>
          <w:trHeight w:val="1312"/>
        </w:trPr>
        <w:tc>
          <w:tcPr>
            <w:cnfStyle w:val="001000000000" w:firstRow="0" w:lastRow="0" w:firstColumn="1" w:lastColumn="0" w:oddVBand="0" w:evenVBand="0" w:oddHBand="0" w:evenHBand="0" w:firstRowFirstColumn="0" w:firstRowLastColumn="0" w:lastRowFirstColumn="0" w:lastRowLastColumn="0"/>
            <w:tcW w:w="1166" w:type="pct"/>
            <w:vAlign w:val="center"/>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 xml:space="preserve">(Conclusión </w:t>
            </w:r>
            <w:r w:rsidR="002963F9">
              <w:rPr>
                <w:rFonts w:ascii="Arial" w:eastAsia="Calibri" w:hAnsi="Arial" w:cs="Arial"/>
                <w:smallCaps/>
                <w:sz w:val="24"/>
                <w:szCs w:val="24"/>
                <w:lang w:val="es-MX"/>
              </w:rPr>
              <w:t xml:space="preserve">General </w:t>
            </w:r>
            <w:r w:rsidRPr="009E2A68">
              <w:rPr>
                <w:rFonts w:ascii="Arial" w:eastAsia="Calibri" w:hAnsi="Arial" w:cs="Arial"/>
                <w:smallCaps/>
                <w:sz w:val="24"/>
                <w:szCs w:val="24"/>
                <w:lang w:val="es-MX"/>
              </w:rPr>
              <w:t>para el Grupo)</w:t>
            </w:r>
          </w:p>
        </w:tc>
        <w:tc>
          <w:tcPr>
            <w:tcW w:w="3834" w:type="pct"/>
            <w:vAlign w:val="center"/>
          </w:tcPr>
          <w:p w:rsidR="00882082" w:rsidRDefault="00E95C82" w:rsidP="00F627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D92C2F">
              <w:rPr>
                <w:rFonts w:ascii="Arial" w:eastAsia="Times New Roman" w:hAnsi="Arial" w:cs="Arial"/>
                <w:iCs/>
                <w:color w:val="548DD4" w:themeColor="text2" w:themeTint="99"/>
                <w:sz w:val="24"/>
                <w:szCs w:val="24"/>
              </w:rPr>
              <w:t>Consider</w:t>
            </w:r>
            <w:r w:rsidR="00D92C2F" w:rsidRPr="00D92C2F">
              <w:rPr>
                <w:rFonts w:ascii="Arial" w:eastAsia="Times New Roman" w:hAnsi="Arial" w:cs="Arial"/>
                <w:iCs/>
                <w:color w:val="548DD4" w:themeColor="text2" w:themeTint="99"/>
                <w:sz w:val="24"/>
                <w:szCs w:val="24"/>
              </w:rPr>
              <w:t>an</w:t>
            </w:r>
            <w:r w:rsidR="00D92C2F">
              <w:rPr>
                <w:rFonts w:ascii="Arial" w:eastAsia="Times New Roman" w:hAnsi="Arial" w:cs="Arial"/>
                <w:iCs/>
                <w:color w:val="548DD4" w:themeColor="text2" w:themeTint="99"/>
                <w:sz w:val="24"/>
                <w:szCs w:val="24"/>
              </w:rPr>
              <w:t xml:space="preserve">do los posicionamiento </w:t>
            </w:r>
            <w:r w:rsidR="00D92C2F" w:rsidRPr="00D92C2F">
              <w:rPr>
                <w:rFonts w:ascii="Arial" w:eastAsia="Times New Roman" w:hAnsi="Arial" w:cs="Arial"/>
                <w:iCs/>
                <w:color w:val="548DD4" w:themeColor="text2" w:themeTint="99"/>
                <w:sz w:val="24"/>
                <w:szCs w:val="24"/>
              </w:rPr>
              <w:t>de los integrantes del Grupo de Jurisprudencia, se propone</w:t>
            </w:r>
            <w:r w:rsidR="00F627B1">
              <w:rPr>
                <w:rFonts w:ascii="Arial" w:eastAsia="Times New Roman" w:hAnsi="Arial" w:cs="Arial"/>
                <w:iCs/>
                <w:color w:val="548DD4" w:themeColor="text2" w:themeTint="99"/>
                <w:sz w:val="24"/>
                <w:szCs w:val="24"/>
              </w:rPr>
              <w:t>n los siguientes elementos para la elaboración del Cuarto</w:t>
            </w:r>
            <w:r w:rsidR="00D92C2F" w:rsidRPr="00D92C2F">
              <w:rPr>
                <w:rFonts w:ascii="Arial" w:eastAsia="Times New Roman" w:hAnsi="Arial" w:cs="Arial"/>
                <w:iCs/>
                <w:color w:val="548DD4" w:themeColor="text2" w:themeTint="99"/>
                <w:sz w:val="24"/>
                <w:szCs w:val="24"/>
              </w:rPr>
              <w:t xml:space="preserve"> Criterio</w:t>
            </w:r>
            <w:r w:rsidR="00F627B1">
              <w:rPr>
                <w:rFonts w:ascii="Arial" w:eastAsia="Times New Roman" w:hAnsi="Arial" w:cs="Arial"/>
                <w:iCs/>
                <w:color w:val="548DD4" w:themeColor="text2" w:themeTint="99"/>
                <w:sz w:val="24"/>
                <w:szCs w:val="24"/>
              </w:rPr>
              <w:t xml:space="preserve"> (</w:t>
            </w:r>
            <w:r w:rsidR="00F627B1" w:rsidRPr="00F627B1">
              <w:rPr>
                <w:rFonts w:ascii="Arial" w:eastAsia="Times New Roman" w:hAnsi="Arial" w:cs="Arial"/>
                <w:b/>
                <w:iCs/>
                <w:color w:val="548DD4" w:themeColor="text2" w:themeTint="99"/>
                <w:sz w:val="24"/>
                <w:szCs w:val="24"/>
              </w:rPr>
              <w:t xml:space="preserve">Afectación de derechos económicos y comerciales de terceros por la entrega de información pública ¿corresponde, o es conveniente, </w:t>
            </w:r>
            <w:proofErr w:type="spellStart"/>
            <w:r w:rsidR="00F627B1" w:rsidRPr="00F627B1">
              <w:rPr>
                <w:rFonts w:ascii="Arial" w:eastAsia="Times New Roman" w:hAnsi="Arial" w:cs="Arial"/>
                <w:b/>
                <w:iCs/>
                <w:color w:val="548DD4" w:themeColor="text2" w:themeTint="99"/>
                <w:sz w:val="24"/>
                <w:szCs w:val="24"/>
              </w:rPr>
              <w:t>bilateralizar</w:t>
            </w:r>
            <w:proofErr w:type="spellEnd"/>
            <w:r w:rsidR="00F627B1" w:rsidRPr="00F627B1">
              <w:rPr>
                <w:rFonts w:ascii="Arial" w:eastAsia="Times New Roman" w:hAnsi="Arial" w:cs="Arial"/>
                <w:b/>
                <w:iCs/>
                <w:color w:val="548DD4" w:themeColor="text2" w:themeTint="99"/>
                <w:sz w:val="24"/>
                <w:szCs w:val="24"/>
              </w:rPr>
              <w:t xml:space="preserve"> el trámite?</w:t>
            </w:r>
            <w:r w:rsidR="00F627B1">
              <w:rPr>
                <w:rFonts w:ascii="Arial" w:eastAsia="Times New Roman" w:hAnsi="Arial" w:cs="Arial"/>
                <w:iCs/>
                <w:color w:val="548DD4" w:themeColor="text2" w:themeTint="99"/>
                <w:sz w:val="24"/>
                <w:szCs w:val="24"/>
              </w:rPr>
              <w:t>)</w:t>
            </w:r>
          </w:p>
          <w:p w:rsidR="00D92C2F" w:rsidRDefault="00D92C2F"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F627B1" w:rsidRDefault="00D92C2F" w:rsidP="00F627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D92C2F">
              <w:rPr>
                <w:rFonts w:ascii="Arial" w:eastAsia="Times New Roman" w:hAnsi="Arial" w:cs="Arial"/>
                <w:b/>
                <w:iCs/>
                <w:sz w:val="24"/>
                <w:szCs w:val="24"/>
              </w:rPr>
              <w:t>Información comercial de terceros con carácter confidencial, es necesario contar con el consentimiento expreso de su titular para otorgar la información requerida</w:t>
            </w:r>
            <w:r>
              <w:rPr>
                <w:rFonts w:ascii="Arial" w:eastAsia="Times New Roman" w:hAnsi="Arial" w:cs="Arial"/>
                <w:iCs/>
                <w:sz w:val="24"/>
                <w:szCs w:val="24"/>
              </w:rPr>
              <w:t xml:space="preserve">. </w:t>
            </w:r>
          </w:p>
          <w:p w:rsidR="00F627B1" w:rsidRDefault="008C7EC7" w:rsidP="00F627B1">
            <w:pPr>
              <w:pStyle w:val="Prrafodelista"/>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F627B1">
              <w:rPr>
                <w:rFonts w:ascii="Arial" w:eastAsia="Times New Roman" w:hAnsi="Arial" w:cs="Arial"/>
                <w:iCs/>
                <w:sz w:val="24"/>
                <w:szCs w:val="24"/>
              </w:rPr>
              <w:t>Los sujetos obligados en materia de acceso a la información deben resguardar la información clasificada como confidencial y que pueda dañar los derechos comerciales de terceros.</w:t>
            </w:r>
          </w:p>
          <w:p w:rsidR="00F627B1" w:rsidRDefault="00DF336B" w:rsidP="00F627B1">
            <w:pPr>
              <w:pStyle w:val="Prrafodelista"/>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Para poder divulgar la información comercial de terceros los</w:t>
            </w:r>
            <w:r w:rsidR="00F627B1">
              <w:rPr>
                <w:rFonts w:ascii="Arial" w:eastAsia="Times New Roman" w:hAnsi="Arial" w:cs="Arial"/>
                <w:iCs/>
                <w:sz w:val="24"/>
                <w:szCs w:val="24"/>
              </w:rPr>
              <w:t xml:space="preserve"> sujetos obligados deben contar con el consentimiento expreso de los titulares de la informaci</w:t>
            </w:r>
            <w:r w:rsidR="00E8450A">
              <w:rPr>
                <w:rFonts w:ascii="Arial" w:eastAsia="Times New Roman" w:hAnsi="Arial" w:cs="Arial"/>
                <w:iCs/>
                <w:sz w:val="24"/>
                <w:szCs w:val="24"/>
              </w:rPr>
              <w:t>ón</w:t>
            </w:r>
            <w:r w:rsidR="00F627B1">
              <w:rPr>
                <w:rFonts w:ascii="Arial" w:eastAsia="Times New Roman" w:hAnsi="Arial" w:cs="Arial"/>
                <w:iCs/>
                <w:sz w:val="24"/>
                <w:szCs w:val="24"/>
              </w:rPr>
              <w:t>.</w:t>
            </w:r>
          </w:p>
          <w:p w:rsidR="00D92C2F" w:rsidRPr="00F627B1" w:rsidRDefault="00DF336B" w:rsidP="00DF336B">
            <w:pPr>
              <w:pStyle w:val="Prrafodelista"/>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En caso de que no se cuente con el consentimiento expreso, los</w:t>
            </w:r>
            <w:r w:rsidR="00F627B1">
              <w:rPr>
                <w:rFonts w:ascii="Arial" w:eastAsia="Times New Roman" w:hAnsi="Arial" w:cs="Arial"/>
                <w:iCs/>
                <w:sz w:val="24"/>
                <w:szCs w:val="24"/>
              </w:rPr>
              <w:t xml:space="preserve"> sujetos obligados deben</w:t>
            </w:r>
            <w:r w:rsidR="008C7EC7" w:rsidRPr="00F627B1">
              <w:rPr>
                <w:rFonts w:ascii="Arial" w:eastAsia="Times New Roman" w:hAnsi="Arial" w:cs="Arial"/>
                <w:iCs/>
                <w:sz w:val="24"/>
                <w:szCs w:val="24"/>
              </w:rPr>
              <w:t xml:space="preserve"> </w:t>
            </w:r>
            <w:r w:rsidR="00F627B1" w:rsidRPr="00F627B1">
              <w:rPr>
                <w:rFonts w:ascii="Arial" w:eastAsia="Times New Roman" w:hAnsi="Arial" w:cs="Arial"/>
                <w:iCs/>
                <w:sz w:val="24"/>
                <w:szCs w:val="24"/>
              </w:rPr>
              <w:t>acreditar</w:t>
            </w:r>
            <w:r w:rsidR="008C7EC7" w:rsidRPr="00F627B1">
              <w:rPr>
                <w:rFonts w:ascii="Arial" w:eastAsia="Times New Roman" w:hAnsi="Arial" w:cs="Arial"/>
                <w:iCs/>
                <w:sz w:val="24"/>
                <w:szCs w:val="24"/>
              </w:rPr>
              <w:t xml:space="preserve"> los siguientes elementos</w:t>
            </w:r>
            <w:r w:rsidR="00F627B1">
              <w:rPr>
                <w:rFonts w:ascii="Arial" w:eastAsia="Times New Roman" w:hAnsi="Arial" w:cs="Arial"/>
                <w:iCs/>
                <w:sz w:val="24"/>
                <w:szCs w:val="24"/>
              </w:rPr>
              <w:t xml:space="preserve"> para determinar la procedencia de la confidencialidad de la </w:t>
            </w:r>
            <w:r w:rsidR="00F627B1">
              <w:rPr>
                <w:rFonts w:ascii="Arial" w:eastAsia="Times New Roman" w:hAnsi="Arial" w:cs="Arial"/>
                <w:iCs/>
                <w:sz w:val="24"/>
                <w:szCs w:val="24"/>
              </w:rPr>
              <w:lastRenderedPageBreak/>
              <w:t>información</w:t>
            </w:r>
            <w:r>
              <w:rPr>
                <w:rFonts w:ascii="Arial" w:eastAsia="Times New Roman" w:hAnsi="Arial" w:cs="Arial"/>
                <w:iCs/>
                <w:sz w:val="24"/>
                <w:szCs w:val="24"/>
              </w:rPr>
              <w:t xml:space="preserve"> comercial de terceros</w:t>
            </w:r>
            <w:r w:rsidR="008C7EC7" w:rsidRPr="00F627B1">
              <w:rPr>
                <w:rFonts w:ascii="Arial" w:eastAsia="Times New Roman" w:hAnsi="Arial" w:cs="Arial"/>
                <w:iCs/>
                <w:sz w:val="24"/>
                <w:szCs w:val="24"/>
              </w:rPr>
              <w:t xml:space="preserve">: </w:t>
            </w:r>
            <w:r w:rsidR="008C7EC7" w:rsidRPr="00DF336B">
              <w:rPr>
                <w:rFonts w:ascii="Arial" w:eastAsia="Times New Roman" w:hAnsi="Arial" w:cs="Arial"/>
                <w:b/>
                <w:iCs/>
                <w:sz w:val="24"/>
                <w:szCs w:val="24"/>
              </w:rPr>
              <w:t>1)</w:t>
            </w:r>
            <w:r w:rsidR="008C7EC7" w:rsidRPr="00F627B1">
              <w:rPr>
                <w:rFonts w:ascii="Arial" w:eastAsia="Times New Roman" w:hAnsi="Arial" w:cs="Arial"/>
                <w:iCs/>
                <w:sz w:val="24"/>
                <w:szCs w:val="24"/>
              </w:rPr>
              <w:t xml:space="preserve"> </w:t>
            </w:r>
            <w:r w:rsidR="00F627B1">
              <w:rPr>
                <w:rFonts w:ascii="Arial" w:eastAsia="Times New Roman" w:hAnsi="Arial" w:cs="Arial"/>
                <w:iCs/>
                <w:sz w:val="24"/>
                <w:szCs w:val="24"/>
              </w:rPr>
              <w:t>Que</w:t>
            </w:r>
            <w:r w:rsidR="008C7EC7" w:rsidRPr="00F627B1">
              <w:rPr>
                <w:rFonts w:ascii="Arial" w:eastAsia="Times New Roman" w:hAnsi="Arial" w:cs="Arial"/>
                <w:iCs/>
                <w:sz w:val="24"/>
                <w:szCs w:val="24"/>
              </w:rPr>
              <w:t xml:space="preserve"> </w:t>
            </w:r>
            <w:r w:rsidR="00F627B1">
              <w:rPr>
                <w:rFonts w:ascii="Arial" w:eastAsia="Times New Roman" w:hAnsi="Arial" w:cs="Arial"/>
                <w:iCs/>
                <w:sz w:val="24"/>
                <w:szCs w:val="24"/>
              </w:rPr>
              <w:t>los particulares involucrados</w:t>
            </w:r>
            <w:r w:rsidR="008C7EC7" w:rsidRPr="00F627B1">
              <w:rPr>
                <w:rFonts w:ascii="Arial" w:eastAsia="Times New Roman" w:hAnsi="Arial" w:cs="Arial"/>
                <w:iCs/>
                <w:sz w:val="24"/>
                <w:szCs w:val="24"/>
              </w:rPr>
              <w:t xml:space="preserve"> </w:t>
            </w:r>
            <w:r w:rsidR="00F627B1">
              <w:rPr>
                <w:rFonts w:ascii="Arial" w:eastAsia="Times New Roman" w:hAnsi="Arial" w:cs="Arial"/>
                <w:iCs/>
                <w:sz w:val="24"/>
                <w:szCs w:val="24"/>
              </w:rPr>
              <w:t xml:space="preserve">son titulares de la información, </w:t>
            </w:r>
            <w:r w:rsidR="00F627B1" w:rsidRPr="00DF336B">
              <w:rPr>
                <w:rFonts w:ascii="Arial" w:eastAsia="Times New Roman" w:hAnsi="Arial" w:cs="Arial"/>
                <w:b/>
                <w:iCs/>
                <w:sz w:val="24"/>
                <w:szCs w:val="24"/>
              </w:rPr>
              <w:t>2)</w:t>
            </w:r>
            <w:r w:rsidR="00F627B1">
              <w:rPr>
                <w:rFonts w:ascii="Arial" w:eastAsia="Times New Roman" w:hAnsi="Arial" w:cs="Arial"/>
                <w:iCs/>
                <w:sz w:val="24"/>
                <w:szCs w:val="24"/>
              </w:rPr>
              <w:t xml:space="preserve"> Que se trat</w:t>
            </w:r>
            <w:r>
              <w:rPr>
                <w:rFonts w:ascii="Arial" w:eastAsia="Times New Roman" w:hAnsi="Arial" w:cs="Arial"/>
                <w:iCs/>
                <w:sz w:val="24"/>
                <w:szCs w:val="24"/>
              </w:rPr>
              <w:t>e</w:t>
            </w:r>
            <w:r w:rsidR="00F627B1" w:rsidRPr="00E95C82">
              <w:rPr>
                <w:rFonts w:ascii="Arial" w:eastAsia="Times New Roman" w:hAnsi="Arial" w:cs="Arial"/>
                <w:iCs/>
                <w:sz w:val="24"/>
                <w:szCs w:val="24"/>
              </w:rPr>
              <w:t xml:space="preserve"> de información generada con motivo de actividades industriales o comerciales de su titular. </w:t>
            </w:r>
            <w:r w:rsidR="00F627B1" w:rsidRPr="00DF336B">
              <w:rPr>
                <w:rFonts w:ascii="Arial" w:eastAsia="Times New Roman" w:hAnsi="Arial" w:cs="Arial"/>
                <w:b/>
                <w:iCs/>
                <w:sz w:val="24"/>
                <w:szCs w:val="24"/>
              </w:rPr>
              <w:t>3)</w:t>
            </w:r>
            <w:r w:rsidR="00F627B1" w:rsidRPr="00E95C82">
              <w:rPr>
                <w:rFonts w:ascii="Arial" w:eastAsia="Times New Roman" w:hAnsi="Arial" w:cs="Arial"/>
                <w:b/>
                <w:iCs/>
                <w:sz w:val="24"/>
                <w:szCs w:val="24"/>
              </w:rPr>
              <w:t xml:space="preserve"> </w:t>
            </w:r>
            <w:r w:rsidR="00F627B1" w:rsidRPr="00E95C82">
              <w:rPr>
                <w:rFonts w:ascii="Arial" w:eastAsia="Times New Roman" w:hAnsi="Arial" w:cs="Arial"/>
                <w:iCs/>
                <w:sz w:val="24"/>
                <w:szCs w:val="24"/>
              </w:rPr>
              <w:t xml:space="preserve">Que la información sea guardada con carácter de confidencial y se hayan adoptado los medios o sistemas para preservarla. </w:t>
            </w:r>
            <w:r w:rsidR="00F627B1" w:rsidRPr="00DF336B">
              <w:rPr>
                <w:rFonts w:ascii="Arial" w:eastAsia="Times New Roman" w:hAnsi="Arial" w:cs="Arial"/>
                <w:b/>
                <w:iCs/>
                <w:sz w:val="24"/>
                <w:szCs w:val="24"/>
              </w:rPr>
              <w:t>4)</w:t>
            </w:r>
            <w:r w:rsidR="00F627B1" w:rsidRPr="00E95C82">
              <w:rPr>
                <w:rFonts w:ascii="Arial" w:eastAsia="Times New Roman" w:hAnsi="Arial" w:cs="Arial"/>
                <w:b/>
                <w:iCs/>
                <w:sz w:val="24"/>
                <w:szCs w:val="24"/>
              </w:rPr>
              <w:t xml:space="preserve"> </w:t>
            </w:r>
            <w:r w:rsidR="00F627B1" w:rsidRPr="00E95C82">
              <w:rPr>
                <w:rFonts w:ascii="Arial" w:eastAsia="Times New Roman" w:hAnsi="Arial" w:cs="Arial"/>
                <w:iCs/>
                <w:sz w:val="24"/>
                <w:szCs w:val="24"/>
              </w:rPr>
              <w:t>Que la información signifique a su titular obtener o mantener una ventaja competitiva o económica frente a terceros, y</w:t>
            </w:r>
            <w:r w:rsidR="00F627B1">
              <w:rPr>
                <w:rFonts w:ascii="Arial" w:eastAsia="Times New Roman" w:hAnsi="Arial" w:cs="Arial"/>
                <w:iCs/>
                <w:sz w:val="24"/>
                <w:szCs w:val="24"/>
              </w:rPr>
              <w:t xml:space="preserve"> </w:t>
            </w:r>
            <w:r w:rsidR="00F627B1" w:rsidRPr="00DF336B">
              <w:rPr>
                <w:rFonts w:ascii="Arial" w:eastAsia="Times New Roman" w:hAnsi="Arial" w:cs="Arial"/>
                <w:b/>
                <w:iCs/>
                <w:sz w:val="24"/>
                <w:szCs w:val="24"/>
              </w:rPr>
              <w:t>5)</w:t>
            </w:r>
            <w:r w:rsidR="00F627B1" w:rsidRPr="00E95C82">
              <w:rPr>
                <w:rFonts w:ascii="Arial" w:eastAsia="Times New Roman" w:hAnsi="Arial" w:cs="Arial"/>
                <w:b/>
                <w:iCs/>
                <w:sz w:val="24"/>
                <w:szCs w:val="24"/>
              </w:rPr>
              <w:t xml:space="preserve"> </w:t>
            </w:r>
            <w:r w:rsidR="00F627B1" w:rsidRPr="00E95C82">
              <w:rPr>
                <w:rFonts w:ascii="Arial" w:eastAsia="Times New Roman" w:hAnsi="Arial" w:cs="Arial"/>
                <w:iCs/>
                <w:sz w:val="24"/>
                <w:szCs w:val="24"/>
              </w:rPr>
              <w:t>Que la información no sea del dominio público</w:t>
            </w:r>
            <w:r w:rsidR="00F627B1">
              <w:rPr>
                <w:rFonts w:ascii="Arial" w:eastAsia="Times New Roman" w:hAnsi="Arial" w:cs="Arial"/>
                <w:iCs/>
                <w:sz w:val="24"/>
                <w:szCs w:val="24"/>
              </w:rPr>
              <w:t>.</w:t>
            </w:r>
          </w:p>
        </w:tc>
      </w:tr>
    </w:tbl>
    <w:p w:rsidR="00E131FB" w:rsidRPr="008F4832" w:rsidRDefault="00E131FB" w:rsidP="008F4832">
      <w:pPr>
        <w:spacing w:after="0"/>
        <w:jc w:val="both"/>
        <w:rPr>
          <w:rFonts w:ascii="Arial" w:hAnsi="Arial" w:cs="Arial"/>
          <w:sz w:val="24"/>
          <w:szCs w:val="24"/>
        </w:rPr>
      </w:pPr>
    </w:p>
    <w:sectPr w:rsidR="00E131FB" w:rsidRPr="008F4832" w:rsidSect="00EF1EF3">
      <w:headerReference w:type="default" r:id="rId7"/>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8A" w:rsidRDefault="00D3678A" w:rsidP="009E2A68">
      <w:pPr>
        <w:spacing w:after="0" w:line="240" w:lineRule="auto"/>
      </w:pPr>
      <w:r>
        <w:separator/>
      </w:r>
    </w:p>
  </w:endnote>
  <w:endnote w:type="continuationSeparator" w:id="0">
    <w:p w:rsidR="00D3678A" w:rsidRDefault="00D3678A"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896725">
              <w:rPr>
                <w:rFonts w:ascii="Arial" w:hAnsi="Arial" w:cs="Arial"/>
                <w:b/>
                <w:bCs/>
                <w:noProof/>
                <w:sz w:val="18"/>
              </w:rPr>
              <w:t>7</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896725">
              <w:rPr>
                <w:rFonts w:ascii="Arial" w:hAnsi="Arial" w:cs="Arial"/>
                <w:b/>
                <w:bCs/>
                <w:noProof/>
                <w:sz w:val="18"/>
              </w:rPr>
              <w:t>8</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8A" w:rsidRDefault="00D3678A" w:rsidP="009E2A68">
      <w:pPr>
        <w:spacing w:after="0" w:line="240" w:lineRule="auto"/>
      </w:pPr>
      <w:r>
        <w:separator/>
      </w:r>
    </w:p>
  </w:footnote>
  <w:footnote w:type="continuationSeparator" w:id="0">
    <w:p w:rsidR="00D3678A" w:rsidRDefault="00D3678A"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EF1EF3"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Debate sobre posicionamiento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Cuarto 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30E1"/>
    <w:multiLevelType w:val="hybridMultilevel"/>
    <w:tmpl w:val="7F18433C"/>
    <w:lvl w:ilvl="0" w:tplc="B4FCAF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558AC"/>
    <w:multiLevelType w:val="hybridMultilevel"/>
    <w:tmpl w:val="C9AED6EC"/>
    <w:lvl w:ilvl="0" w:tplc="A92C7F2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174E6"/>
    <w:multiLevelType w:val="hybridMultilevel"/>
    <w:tmpl w:val="E532494E"/>
    <w:lvl w:ilvl="0" w:tplc="84FE77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093334"/>
    <w:multiLevelType w:val="hybridMultilevel"/>
    <w:tmpl w:val="E532494E"/>
    <w:lvl w:ilvl="0" w:tplc="84FE77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21688"/>
    <w:multiLevelType w:val="hybridMultilevel"/>
    <w:tmpl w:val="457E8214"/>
    <w:lvl w:ilvl="0" w:tplc="926EFFE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EE1D0B"/>
    <w:multiLevelType w:val="hybridMultilevel"/>
    <w:tmpl w:val="3FF65194"/>
    <w:lvl w:ilvl="0" w:tplc="FAD69574">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FE5218"/>
    <w:multiLevelType w:val="hybridMultilevel"/>
    <w:tmpl w:val="23CA4FAA"/>
    <w:lvl w:ilvl="0" w:tplc="9FA05E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391D90"/>
    <w:multiLevelType w:val="hybridMultilevel"/>
    <w:tmpl w:val="CDFCE858"/>
    <w:lvl w:ilvl="0" w:tplc="6B5621C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05766B"/>
    <w:multiLevelType w:val="hybridMultilevel"/>
    <w:tmpl w:val="FB546BB8"/>
    <w:lvl w:ilvl="0" w:tplc="8812B4C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6"/>
  </w:num>
  <w:num w:numId="5">
    <w:abstractNumId w:val="10"/>
  </w:num>
  <w:num w:numId="6">
    <w:abstractNumId w:val="13"/>
  </w:num>
  <w:num w:numId="7">
    <w:abstractNumId w:val="8"/>
  </w:num>
  <w:num w:numId="8">
    <w:abstractNumId w:val="4"/>
  </w:num>
  <w:num w:numId="9">
    <w:abstractNumId w:val="9"/>
  </w:num>
  <w:num w:numId="10">
    <w:abstractNumId w:val="1"/>
  </w:num>
  <w:num w:numId="11">
    <w:abstractNumId w:val="11"/>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478B8"/>
    <w:rsid w:val="00097BDE"/>
    <w:rsid w:val="00123C94"/>
    <w:rsid w:val="00127782"/>
    <w:rsid w:val="00150183"/>
    <w:rsid w:val="001F1D8B"/>
    <w:rsid w:val="00231614"/>
    <w:rsid w:val="002675AE"/>
    <w:rsid w:val="00287734"/>
    <w:rsid w:val="002963F9"/>
    <w:rsid w:val="002E78E5"/>
    <w:rsid w:val="00324388"/>
    <w:rsid w:val="0033112F"/>
    <w:rsid w:val="0033282F"/>
    <w:rsid w:val="0039462F"/>
    <w:rsid w:val="003A596B"/>
    <w:rsid w:val="00420E96"/>
    <w:rsid w:val="00436105"/>
    <w:rsid w:val="00437516"/>
    <w:rsid w:val="004630DD"/>
    <w:rsid w:val="004633C9"/>
    <w:rsid w:val="00486A8A"/>
    <w:rsid w:val="004B612B"/>
    <w:rsid w:val="00521672"/>
    <w:rsid w:val="00522F6E"/>
    <w:rsid w:val="0055506D"/>
    <w:rsid w:val="005941F2"/>
    <w:rsid w:val="005E04AA"/>
    <w:rsid w:val="0061563C"/>
    <w:rsid w:val="00622B72"/>
    <w:rsid w:val="00623B39"/>
    <w:rsid w:val="006537AD"/>
    <w:rsid w:val="006720BA"/>
    <w:rsid w:val="006935C8"/>
    <w:rsid w:val="006D07F7"/>
    <w:rsid w:val="00787100"/>
    <w:rsid w:val="008027E7"/>
    <w:rsid w:val="00842136"/>
    <w:rsid w:val="008641D6"/>
    <w:rsid w:val="00882082"/>
    <w:rsid w:val="00896725"/>
    <w:rsid w:val="008C7EC7"/>
    <w:rsid w:val="008E056E"/>
    <w:rsid w:val="008F4832"/>
    <w:rsid w:val="0090351F"/>
    <w:rsid w:val="009364F1"/>
    <w:rsid w:val="0094657A"/>
    <w:rsid w:val="0095076A"/>
    <w:rsid w:val="00970F79"/>
    <w:rsid w:val="009760E6"/>
    <w:rsid w:val="009961EA"/>
    <w:rsid w:val="009E2A68"/>
    <w:rsid w:val="00A27E14"/>
    <w:rsid w:val="00A33746"/>
    <w:rsid w:val="00A801E3"/>
    <w:rsid w:val="00AC7955"/>
    <w:rsid w:val="00B552CB"/>
    <w:rsid w:val="00B927E9"/>
    <w:rsid w:val="00C174BC"/>
    <w:rsid w:val="00C67785"/>
    <w:rsid w:val="00CB058C"/>
    <w:rsid w:val="00CB3B99"/>
    <w:rsid w:val="00D3678A"/>
    <w:rsid w:val="00D670F3"/>
    <w:rsid w:val="00D92C2F"/>
    <w:rsid w:val="00DF336B"/>
    <w:rsid w:val="00E10CD4"/>
    <w:rsid w:val="00E131FB"/>
    <w:rsid w:val="00E23674"/>
    <w:rsid w:val="00E8450A"/>
    <w:rsid w:val="00E95C82"/>
    <w:rsid w:val="00EB564D"/>
    <w:rsid w:val="00EF1EF3"/>
    <w:rsid w:val="00EF4D59"/>
    <w:rsid w:val="00F11AF9"/>
    <w:rsid w:val="00F246BB"/>
    <w:rsid w:val="00F368BA"/>
    <w:rsid w:val="00F617EE"/>
    <w:rsid w:val="00F627B1"/>
    <w:rsid w:val="00F64D83"/>
    <w:rsid w:val="00FC3A0E"/>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441420A3-E825-4C8B-A14F-D2C113C85FC4}"/>
</file>

<file path=customXml/itemProps2.xml><?xml version="1.0" encoding="utf-8"?>
<ds:datastoreItem xmlns:ds="http://schemas.openxmlformats.org/officeDocument/2006/customXml" ds:itemID="{7A934CB8-3D4B-4454-AD32-B34BDCE0201A}"/>
</file>

<file path=customXml/itemProps3.xml><?xml version="1.0" encoding="utf-8"?>
<ds:datastoreItem xmlns:ds="http://schemas.openxmlformats.org/officeDocument/2006/customXml" ds:itemID="{563B11E2-6B15-4A16-8D69-4E53F695ACDA}"/>
</file>

<file path=docProps/app.xml><?xml version="1.0" encoding="utf-8"?>
<Properties xmlns="http://schemas.openxmlformats.org/officeDocument/2006/extended-properties" xmlns:vt="http://schemas.openxmlformats.org/officeDocument/2006/docPropsVTypes">
  <Template>Normal</Template>
  <TotalTime>201</TotalTime>
  <Pages>8</Pages>
  <Words>2220</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10</cp:revision>
  <cp:lastPrinted>2015-11-23T17:16:00Z</cp:lastPrinted>
  <dcterms:created xsi:type="dcterms:W3CDTF">2016-11-08T01:28:00Z</dcterms:created>
  <dcterms:modified xsi:type="dcterms:W3CDTF">2016-12-21T22:15:00Z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