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612B" w:rsidRPr="008F4832" w:rsidRDefault="004B612B" w:rsidP="008F4832">
      <w:pPr>
        <w:spacing w:after="0"/>
        <w:jc w:val="both"/>
        <w:rPr>
          <w:rFonts w:ascii="Arial" w:hAnsi="Arial" w:cs="Arial"/>
          <w:sz w:val="24"/>
          <w:szCs w:val="24"/>
        </w:rPr>
      </w:pPr>
      <w:bookmarkStart w:id="0" w:name="_GoBack"/>
      <w:bookmarkEnd w:id="0"/>
    </w:p>
    <w:p w:rsidR="00E131FB" w:rsidRPr="009E2A68" w:rsidRDefault="00E131FB" w:rsidP="008F4832">
      <w:pPr>
        <w:pStyle w:val="Prrafodelista"/>
        <w:numPr>
          <w:ilvl w:val="0"/>
          <w:numId w:val="1"/>
        </w:numPr>
        <w:spacing w:after="0"/>
        <w:jc w:val="both"/>
        <w:rPr>
          <w:rFonts w:ascii="Arial" w:hAnsi="Arial" w:cs="Arial"/>
          <w:b/>
          <w:smallCaps/>
          <w:sz w:val="24"/>
          <w:szCs w:val="24"/>
        </w:rPr>
      </w:pPr>
      <w:r w:rsidRPr="009E2A68">
        <w:rPr>
          <w:rFonts w:ascii="Arial" w:hAnsi="Arial" w:cs="Arial"/>
          <w:b/>
          <w:smallCaps/>
          <w:sz w:val="24"/>
          <w:szCs w:val="24"/>
        </w:rPr>
        <w:t>Procedimiento para las conclusiones</w:t>
      </w:r>
      <w:r w:rsidR="0033282F" w:rsidRPr="009E2A68">
        <w:rPr>
          <w:rFonts w:ascii="Arial" w:hAnsi="Arial" w:cs="Arial"/>
          <w:b/>
          <w:smallCaps/>
          <w:sz w:val="24"/>
          <w:szCs w:val="24"/>
        </w:rPr>
        <w:t>:</w:t>
      </w:r>
    </w:p>
    <w:p w:rsidR="00882082" w:rsidRPr="008F4832" w:rsidRDefault="00882082" w:rsidP="008F4832">
      <w:pPr>
        <w:spacing w:after="0"/>
        <w:jc w:val="both"/>
        <w:rPr>
          <w:rFonts w:ascii="Arial" w:hAnsi="Arial" w:cs="Arial"/>
          <w:b/>
          <w:sz w:val="24"/>
          <w:szCs w:val="24"/>
        </w:rPr>
      </w:pPr>
    </w:p>
    <w:p w:rsidR="00882082" w:rsidRPr="008F4832" w:rsidRDefault="00882082" w:rsidP="008F4832">
      <w:pPr>
        <w:spacing w:after="0"/>
        <w:jc w:val="both"/>
        <w:rPr>
          <w:rFonts w:ascii="Arial" w:hAnsi="Arial" w:cs="Arial"/>
          <w:sz w:val="24"/>
          <w:szCs w:val="24"/>
        </w:rPr>
      </w:pPr>
      <w:r w:rsidRPr="008F4832">
        <w:rPr>
          <w:rFonts w:ascii="Arial" w:hAnsi="Arial" w:cs="Arial"/>
          <w:sz w:val="24"/>
          <w:szCs w:val="24"/>
        </w:rPr>
        <w:t xml:space="preserve">Una vez que se tenga la información </w:t>
      </w:r>
      <w:r w:rsidR="00F617EE" w:rsidRPr="008F4832">
        <w:rPr>
          <w:rFonts w:ascii="Arial" w:hAnsi="Arial" w:cs="Arial"/>
          <w:sz w:val="24"/>
          <w:szCs w:val="24"/>
        </w:rPr>
        <w:t>de todos los países</w:t>
      </w:r>
      <w:r w:rsidR="00097BDE" w:rsidRPr="008F4832">
        <w:rPr>
          <w:rFonts w:ascii="Arial" w:hAnsi="Arial" w:cs="Arial"/>
          <w:sz w:val="24"/>
          <w:szCs w:val="24"/>
        </w:rPr>
        <w:t xml:space="preserve">, </w:t>
      </w:r>
      <w:r w:rsidRPr="008F4832">
        <w:rPr>
          <w:rFonts w:ascii="Arial" w:hAnsi="Arial" w:cs="Arial"/>
          <w:sz w:val="24"/>
          <w:szCs w:val="24"/>
        </w:rPr>
        <w:t xml:space="preserve">cada </w:t>
      </w:r>
      <w:r w:rsidR="00097BDE" w:rsidRPr="008F4832">
        <w:rPr>
          <w:rFonts w:ascii="Arial" w:hAnsi="Arial" w:cs="Arial"/>
          <w:sz w:val="24"/>
          <w:szCs w:val="24"/>
        </w:rPr>
        <w:t>uno de ellos</w:t>
      </w:r>
      <w:r w:rsidRPr="008F4832">
        <w:rPr>
          <w:rFonts w:ascii="Arial" w:hAnsi="Arial" w:cs="Arial"/>
          <w:sz w:val="24"/>
          <w:szCs w:val="24"/>
        </w:rPr>
        <w:t xml:space="preserve"> deberá emitir sus propias conclusiones y proponer una conclusión general para el Grupo</w:t>
      </w:r>
      <w:r w:rsidR="00F617EE" w:rsidRPr="008F4832">
        <w:rPr>
          <w:rFonts w:ascii="Arial" w:hAnsi="Arial" w:cs="Arial"/>
          <w:sz w:val="24"/>
          <w:szCs w:val="24"/>
        </w:rPr>
        <w:t xml:space="preserve"> de Jurisprudencia </w:t>
      </w:r>
      <w:r w:rsidR="0055506D">
        <w:rPr>
          <w:rFonts w:ascii="Arial" w:hAnsi="Arial" w:cs="Arial"/>
          <w:sz w:val="24"/>
          <w:szCs w:val="24"/>
        </w:rPr>
        <w:t>y Criterios Administrativos</w:t>
      </w:r>
      <w:r w:rsidRPr="008F4832">
        <w:rPr>
          <w:rFonts w:ascii="Arial" w:hAnsi="Arial" w:cs="Arial"/>
          <w:sz w:val="24"/>
          <w:szCs w:val="24"/>
        </w:rPr>
        <w:t>.</w:t>
      </w:r>
    </w:p>
    <w:p w:rsidR="00882082" w:rsidRPr="008F4832" w:rsidRDefault="00882082" w:rsidP="008F4832">
      <w:pPr>
        <w:spacing w:after="0"/>
        <w:jc w:val="both"/>
        <w:rPr>
          <w:rFonts w:ascii="Arial" w:hAnsi="Arial" w:cs="Arial"/>
          <w:sz w:val="24"/>
          <w:szCs w:val="24"/>
        </w:rPr>
      </w:pPr>
    </w:p>
    <w:p w:rsidR="00882082" w:rsidRPr="008F4832" w:rsidRDefault="0055506D" w:rsidP="008F4832">
      <w:pPr>
        <w:spacing w:after="0"/>
        <w:jc w:val="both"/>
        <w:rPr>
          <w:rFonts w:ascii="Arial" w:hAnsi="Arial" w:cs="Arial"/>
          <w:sz w:val="24"/>
          <w:szCs w:val="24"/>
        </w:rPr>
      </w:pPr>
      <w:r>
        <w:rPr>
          <w:rFonts w:ascii="Arial" w:hAnsi="Arial" w:cs="Arial"/>
          <w:sz w:val="24"/>
          <w:szCs w:val="24"/>
        </w:rPr>
        <w:t>E</w:t>
      </w:r>
      <w:r w:rsidR="00097BDE" w:rsidRPr="008F4832">
        <w:rPr>
          <w:rFonts w:ascii="Arial" w:hAnsi="Arial" w:cs="Arial"/>
          <w:sz w:val="24"/>
          <w:szCs w:val="24"/>
        </w:rPr>
        <w:t>l INAI</w:t>
      </w:r>
      <w:r w:rsidR="00882082" w:rsidRPr="008F4832">
        <w:rPr>
          <w:rFonts w:ascii="Arial" w:hAnsi="Arial" w:cs="Arial"/>
          <w:sz w:val="24"/>
          <w:szCs w:val="24"/>
        </w:rPr>
        <w:t xml:space="preserve">, </w:t>
      </w:r>
      <w:r>
        <w:rPr>
          <w:rFonts w:ascii="Arial" w:hAnsi="Arial" w:cs="Arial"/>
          <w:sz w:val="24"/>
          <w:szCs w:val="24"/>
        </w:rPr>
        <w:t>como moderador del Debate,</w:t>
      </w:r>
      <w:r w:rsidR="00882082" w:rsidRPr="008F4832">
        <w:rPr>
          <w:rFonts w:ascii="Arial" w:hAnsi="Arial" w:cs="Arial"/>
          <w:sz w:val="24"/>
          <w:szCs w:val="24"/>
        </w:rPr>
        <w:t xml:space="preserve"> elaborará un análisis de todas las propuestas y emitirá un criterio </w:t>
      </w:r>
      <w:r w:rsidR="00F617EE" w:rsidRPr="008F4832">
        <w:rPr>
          <w:rFonts w:ascii="Arial" w:hAnsi="Arial" w:cs="Arial"/>
          <w:sz w:val="24"/>
          <w:szCs w:val="24"/>
        </w:rPr>
        <w:t xml:space="preserve">único </w:t>
      </w:r>
      <w:r w:rsidR="00882082" w:rsidRPr="008F4832">
        <w:rPr>
          <w:rFonts w:ascii="Arial" w:hAnsi="Arial" w:cs="Arial"/>
          <w:sz w:val="24"/>
          <w:szCs w:val="24"/>
        </w:rPr>
        <w:t xml:space="preserve">que enviará </w:t>
      </w:r>
      <w:r>
        <w:rPr>
          <w:rFonts w:ascii="Arial" w:hAnsi="Arial" w:cs="Arial"/>
          <w:sz w:val="24"/>
          <w:szCs w:val="24"/>
        </w:rPr>
        <w:t>a consideración de</w:t>
      </w:r>
      <w:r w:rsidR="00882082" w:rsidRPr="008F4832">
        <w:rPr>
          <w:rFonts w:ascii="Arial" w:hAnsi="Arial" w:cs="Arial"/>
          <w:sz w:val="24"/>
          <w:szCs w:val="24"/>
        </w:rPr>
        <w:t xml:space="preserve"> los países miembros para </w:t>
      </w:r>
      <w:r w:rsidR="005E04AA" w:rsidRPr="008F4832">
        <w:rPr>
          <w:rFonts w:ascii="Arial" w:hAnsi="Arial" w:cs="Arial"/>
          <w:sz w:val="24"/>
          <w:szCs w:val="24"/>
        </w:rPr>
        <w:t xml:space="preserve">reflejar la posición que tiene el grupo en </w:t>
      </w:r>
      <w:r>
        <w:rPr>
          <w:rFonts w:ascii="Arial" w:hAnsi="Arial" w:cs="Arial"/>
          <w:sz w:val="24"/>
          <w:szCs w:val="24"/>
        </w:rPr>
        <w:t>el</w:t>
      </w:r>
      <w:r w:rsidR="005E04AA" w:rsidRPr="008F4832">
        <w:rPr>
          <w:rFonts w:ascii="Arial" w:hAnsi="Arial" w:cs="Arial"/>
          <w:sz w:val="24"/>
          <w:szCs w:val="24"/>
        </w:rPr>
        <w:t xml:space="preserve"> tema</w:t>
      </w:r>
      <w:r w:rsidR="00882082" w:rsidRPr="008F4832">
        <w:rPr>
          <w:rFonts w:ascii="Arial" w:hAnsi="Arial" w:cs="Arial"/>
          <w:sz w:val="24"/>
          <w:szCs w:val="24"/>
        </w:rPr>
        <w:t xml:space="preserve">. </w:t>
      </w:r>
    </w:p>
    <w:p w:rsidR="0033282F" w:rsidRPr="006720BA" w:rsidRDefault="0033282F" w:rsidP="006720BA">
      <w:pPr>
        <w:spacing w:after="0"/>
        <w:jc w:val="center"/>
        <w:rPr>
          <w:rFonts w:ascii="Arial" w:eastAsia="Calibri" w:hAnsi="Arial" w:cs="Arial"/>
          <w:bCs/>
          <w:color w:val="000000"/>
          <w:sz w:val="24"/>
          <w:szCs w:val="24"/>
        </w:rPr>
      </w:pPr>
    </w:p>
    <w:tbl>
      <w:tblPr>
        <w:tblStyle w:val="Listaclara-nfasis2"/>
        <w:tblW w:w="5005" w:type="pct"/>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3359"/>
        <w:gridCol w:w="11045"/>
      </w:tblGrid>
      <w:tr w:rsidR="00882082" w:rsidRPr="008F4832" w:rsidTr="00123C94">
        <w:trPr>
          <w:cnfStyle w:val="100000000000" w:firstRow="1" w:lastRow="0" w:firstColumn="0" w:lastColumn="0" w:oddVBand="0" w:evenVBand="0" w:oddHBand="0" w:evenHBand="0" w:firstRowFirstColumn="0" w:firstRowLastColumn="0" w:lastRowFirstColumn="0" w:lastRowLastColumn="0"/>
          <w:trHeight w:val="1292"/>
          <w:tblHeader/>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365F91" w:themeFill="accent1" w:themeFillShade="BF"/>
            <w:vAlign w:val="center"/>
          </w:tcPr>
          <w:p w:rsidR="00882082" w:rsidRPr="00E10CD4" w:rsidRDefault="00882082" w:rsidP="00E10CD4">
            <w:pPr>
              <w:jc w:val="center"/>
              <w:rPr>
                <w:rFonts w:ascii="Arial" w:eastAsia="Calibri" w:hAnsi="Arial" w:cs="Arial"/>
                <w:sz w:val="24"/>
                <w:szCs w:val="24"/>
                <w:lang w:val="es-MX"/>
              </w:rPr>
            </w:pPr>
            <w:r w:rsidRPr="008F4832">
              <w:rPr>
                <w:rFonts w:ascii="Arial" w:eastAsia="Calibri" w:hAnsi="Arial" w:cs="Arial"/>
                <w:sz w:val="24"/>
                <w:szCs w:val="24"/>
                <w:lang w:val="es-MX"/>
              </w:rPr>
              <w:t>“</w:t>
            </w:r>
            <w:r w:rsidR="006537AD" w:rsidRPr="009E2A68">
              <w:rPr>
                <w:rFonts w:ascii="Arial" w:eastAsia="Times New Roman" w:hAnsi="Arial" w:cs="Arial"/>
                <w:iCs/>
                <w:smallCaps/>
                <w:sz w:val="24"/>
                <w:szCs w:val="24"/>
              </w:rPr>
              <w:t>Afectación de derechos económicos y comerciales de terceros por la entrega de información pública ¿corresponde, o es conveniente, bilateralizar el trámite?</w:t>
            </w:r>
            <w:r w:rsidRPr="008F4832">
              <w:rPr>
                <w:rFonts w:ascii="Arial" w:eastAsia="Calibri" w:hAnsi="Arial" w:cs="Arial"/>
                <w:sz w:val="24"/>
                <w:szCs w:val="24"/>
                <w:lang w:val="es-MX"/>
              </w:rPr>
              <w:t xml:space="preserve">” </w:t>
            </w:r>
          </w:p>
        </w:tc>
      </w:tr>
      <w:tr w:rsidR="002963F9" w:rsidRPr="008F4832" w:rsidTr="00123C94">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1166" w:type="pct"/>
            <w:vMerge w:val="restart"/>
            <w:tcBorders>
              <w:top w:val="none" w:sz="0" w:space="0" w:color="auto"/>
              <w:left w:val="none" w:sz="0" w:space="0" w:color="auto"/>
              <w:bottom w:val="none" w:sz="0" w:space="0" w:color="auto"/>
            </w:tcBorders>
            <w:vAlign w:val="center"/>
          </w:tcPr>
          <w:p w:rsidR="002963F9" w:rsidRPr="009E2A68" w:rsidRDefault="002963F9" w:rsidP="008F4832">
            <w:pPr>
              <w:jc w:val="center"/>
              <w:rPr>
                <w:rFonts w:ascii="Arial" w:eastAsia="Calibri" w:hAnsi="Arial" w:cs="Arial"/>
                <w:smallCaps/>
                <w:sz w:val="24"/>
                <w:szCs w:val="24"/>
                <w:lang w:val="es-MX"/>
              </w:rPr>
            </w:pPr>
            <w:r>
              <w:rPr>
                <w:rFonts w:ascii="Arial" w:eastAsia="Calibri" w:hAnsi="Arial" w:cs="Arial"/>
                <w:smallCaps/>
                <w:sz w:val="24"/>
                <w:szCs w:val="24"/>
                <w:lang w:val="es-MX"/>
              </w:rPr>
              <w:t>Elementos a destacar sobre el posicionamiento de otros países</w:t>
            </w:r>
          </w:p>
        </w:tc>
        <w:tc>
          <w:tcPr>
            <w:tcW w:w="3834" w:type="pct"/>
            <w:tcBorders>
              <w:top w:val="none" w:sz="0" w:space="0" w:color="auto"/>
              <w:bottom w:val="none" w:sz="0" w:space="0" w:color="auto"/>
              <w:right w:val="none" w:sz="0" w:space="0" w:color="auto"/>
            </w:tcBorders>
            <w:vAlign w:val="center"/>
          </w:tcPr>
          <w:p w:rsidR="002963F9" w:rsidRDefault="002963F9" w:rsidP="008F483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2963F9">
              <w:rPr>
                <w:rFonts w:ascii="Arial" w:eastAsia="Times New Roman" w:hAnsi="Arial" w:cs="Arial"/>
                <w:b/>
                <w:iCs/>
                <w:sz w:val="24"/>
                <w:szCs w:val="24"/>
                <w:lang w:val="es-MX"/>
              </w:rPr>
              <w:t>Brasil</w:t>
            </w:r>
            <w:r>
              <w:rPr>
                <w:rFonts w:ascii="Arial" w:eastAsia="Times New Roman" w:hAnsi="Arial" w:cs="Arial"/>
                <w:iCs/>
                <w:sz w:val="24"/>
                <w:szCs w:val="24"/>
                <w:lang w:val="es-MX"/>
              </w:rPr>
              <w:t>:</w:t>
            </w:r>
          </w:p>
          <w:p w:rsidR="002963F9" w:rsidRPr="002963F9" w:rsidRDefault="002963F9" w:rsidP="008F483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p>
        </w:tc>
      </w:tr>
      <w:tr w:rsidR="00123C94" w:rsidRPr="008F4832" w:rsidTr="00123C94">
        <w:trPr>
          <w:trHeight w:val="728"/>
        </w:trPr>
        <w:tc>
          <w:tcPr>
            <w:cnfStyle w:val="001000000000" w:firstRow="0" w:lastRow="0" w:firstColumn="1" w:lastColumn="0" w:oddVBand="0" w:evenVBand="0" w:oddHBand="0" w:evenHBand="0" w:firstRowFirstColumn="0" w:firstRowLastColumn="0" w:lastRowFirstColumn="0" w:lastRowLastColumn="0"/>
            <w:tcW w:w="1166" w:type="pct"/>
            <w:vMerge/>
            <w:vAlign w:val="center"/>
          </w:tcPr>
          <w:p w:rsidR="00123C94" w:rsidRDefault="00123C94" w:rsidP="008F4832">
            <w:pPr>
              <w:jc w:val="center"/>
              <w:rPr>
                <w:rFonts w:ascii="Arial" w:eastAsia="Calibri" w:hAnsi="Arial" w:cs="Arial"/>
                <w:smallCaps/>
                <w:sz w:val="24"/>
                <w:szCs w:val="24"/>
                <w:lang w:val="es-MX"/>
              </w:rPr>
            </w:pPr>
          </w:p>
        </w:tc>
        <w:tc>
          <w:tcPr>
            <w:tcW w:w="3834" w:type="pct"/>
            <w:vAlign w:val="center"/>
          </w:tcPr>
          <w:p w:rsidR="00731F42" w:rsidRPr="00731F42" w:rsidRDefault="00123C94" w:rsidP="00731F4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Cs/>
                <w:sz w:val="24"/>
                <w:szCs w:val="24"/>
                <w:lang w:val="es-MX"/>
              </w:rPr>
            </w:pPr>
            <w:r w:rsidRPr="00731F42">
              <w:rPr>
                <w:rFonts w:ascii="Arial" w:eastAsia="Times New Roman" w:hAnsi="Arial" w:cs="Arial"/>
                <w:b/>
                <w:iCs/>
                <w:sz w:val="24"/>
                <w:szCs w:val="24"/>
                <w:lang w:val="es-MX"/>
              </w:rPr>
              <w:t>Chile</w:t>
            </w:r>
          </w:p>
          <w:p w:rsidR="00731F42" w:rsidRDefault="00731F42" w:rsidP="00731F4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Cs/>
                <w:sz w:val="24"/>
                <w:szCs w:val="24"/>
                <w:lang w:val="es-MX"/>
              </w:rPr>
            </w:pPr>
          </w:p>
          <w:p w:rsidR="00731F42" w:rsidRDefault="00731F42" w:rsidP="00731F4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Nos pareció interesante la siguiente parte del posicionamiento de Chile:</w:t>
            </w:r>
          </w:p>
          <w:p w:rsidR="00731F42" w:rsidRDefault="00731F42" w:rsidP="00731F4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DA12EC" w:rsidRDefault="00731F42" w:rsidP="00731F4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48DD4" w:themeColor="text2" w:themeTint="99"/>
                <w:sz w:val="24"/>
                <w:szCs w:val="24"/>
                <w:lang w:val="es-MX" w:eastAsia="es-ES"/>
              </w:rPr>
            </w:pPr>
            <w:r w:rsidRPr="00B12853">
              <w:rPr>
                <w:rFonts w:ascii="Arial" w:eastAsia="Times New Roman" w:hAnsi="Arial" w:cs="Arial"/>
                <w:color w:val="548DD4" w:themeColor="text2" w:themeTint="99"/>
                <w:sz w:val="24"/>
                <w:szCs w:val="24"/>
                <w:lang w:val="es-MX" w:eastAsia="es-ES"/>
              </w:rPr>
              <w:t>“</w:t>
            </w:r>
            <w:r w:rsidR="00DA12EC" w:rsidRPr="00B12853">
              <w:rPr>
                <w:rFonts w:ascii="Arial" w:eastAsia="Times New Roman" w:hAnsi="Arial" w:cs="Arial"/>
                <w:color w:val="548DD4" w:themeColor="text2" w:themeTint="99"/>
                <w:sz w:val="24"/>
                <w:szCs w:val="24"/>
                <w:lang w:val="es-MX" w:eastAsia="es-ES"/>
              </w:rPr>
              <w:t xml:space="preserve">La aplicación por parte del órgano reclamado del artículo 20 de la Ley de Transparencia, en virtud del cual cuando la solicitud de información se refiera a documentos o antecedentes que contengan información que pueda afectar los derechos de terceros, se deberá comunicar a estos, el requerimiento y su facultad de oponerse a su entrega. Deducida la oposición en tiempo y forma, el órgano requerido </w:t>
            </w:r>
            <w:r w:rsidR="00DA12EC" w:rsidRPr="00B12853">
              <w:rPr>
                <w:rFonts w:ascii="Arial" w:eastAsia="Times New Roman" w:hAnsi="Arial" w:cs="Arial"/>
                <w:color w:val="548DD4" w:themeColor="text2" w:themeTint="99"/>
                <w:sz w:val="24"/>
                <w:szCs w:val="24"/>
                <w:lang w:val="es-MX" w:eastAsia="es-ES"/>
              </w:rPr>
              <w:lastRenderedPageBreak/>
              <w:t>quedará impedido de proporcionar la documentación pedida, salvo resolución en contrario del Consejo para la Transparencia.</w:t>
            </w:r>
          </w:p>
          <w:p w:rsidR="00BE5442" w:rsidRPr="00B12853" w:rsidRDefault="00BE5442" w:rsidP="00731F42">
            <w:pPr>
              <w:spacing w:line="360" w:lineRule="auto"/>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48DD4" w:themeColor="text2" w:themeTint="99"/>
                <w:sz w:val="24"/>
                <w:szCs w:val="24"/>
                <w:lang w:val="es-MX" w:eastAsia="es-ES"/>
              </w:rPr>
            </w:pPr>
          </w:p>
          <w:p w:rsidR="00DA12EC" w:rsidRPr="00B12853" w:rsidRDefault="00DA12EC" w:rsidP="00DA12EC">
            <w:pPr>
              <w:spacing w:line="360" w:lineRule="auto"/>
              <w:ind w:left="720"/>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48DD4" w:themeColor="text2" w:themeTint="99"/>
                <w:sz w:val="24"/>
                <w:szCs w:val="24"/>
                <w:lang w:val="es-MX" w:eastAsia="es-ES"/>
              </w:rPr>
            </w:pPr>
            <w:r w:rsidRPr="00DA12EC">
              <w:rPr>
                <w:rFonts w:ascii="Arial" w:eastAsia="Times New Roman" w:hAnsi="Arial" w:cs="Arial"/>
                <w:color w:val="548DD4" w:themeColor="text2" w:themeTint="99"/>
                <w:sz w:val="24"/>
                <w:szCs w:val="24"/>
                <w:lang w:val="es-MX" w:eastAsia="es-ES"/>
              </w:rPr>
              <w:t>Por su parte, en virtud de lo establecido en el artículo 25 de la ley citada, si en su oportunidad el tercero no fue notificado de la solicitud, podrá hacer valer sus derechos, con ocasión de la notificación del amparo deducido ante el CPLT.</w:t>
            </w:r>
            <w:r w:rsidR="00731F42" w:rsidRPr="00B12853">
              <w:rPr>
                <w:rFonts w:ascii="Arial" w:eastAsia="Times New Roman" w:hAnsi="Arial" w:cs="Arial"/>
                <w:color w:val="548DD4" w:themeColor="text2" w:themeTint="99"/>
                <w:sz w:val="24"/>
                <w:szCs w:val="24"/>
                <w:lang w:val="es-MX" w:eastAsia="es-ES"/>
              </w:rPr>
              <w:t>”</w:t>
            </w:r>
          </w:p>
          <w:p w:rsidR="00731F42" w:rsidRDefault="00731F42" w:rsidP="00731F4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24"/>
                <w:szCs w:val="24"/>
                <w:lang w:val="es-MX" w:eastAsia="es-ES"/>
              </w:rPr>
            </w:pPr>
          </w:p>
          <w:p w:rsidR="00731F42" w:rsidRPr="00DA12EC" w:rsidRDefault="00731F42" w:rsidP="00731F42">
            <w:pPr>
              <w:spacing w:line="360" w:lineRule="auto"/>
              <w:contextualSpacing/>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sidRPr="00731F42">
              <w:rPr>
                <w:rFonts w:ascii="Arial" w:eastAsia="Times New Roman" w:hAnsi="Arial" w:cs="Arial"/>
                <w:sz w:val="24"/>
                <w:szCs w:val="24"/>
                <w:lang w:val="es-MX" w:eastAsia="es-ES"/>
              </w:rPr>
              <w:t>Acreditamos que avanzar en el consentimiento puede ser una alternativa en casos de informaciones sensibles, aún que</w:t>
            </w:r>
            <w:r>
              <w:rPr>
                <w:rFonts w:ascii="Arial" w:eastAsia="Times New Roman" w:hAnsi="Arial" w:cs="Arial"/>
                <w:sz w:val="24"/>
                <w:szCs w:val="24"/>
                <w:lang w:val="es-MX" w:eastAsia="es-ES"/>
              </w:rPr>
              <w:t xml:space="preserve"> exista una gran probabilidad de que el tercero mantenga una posición de restricción de acceso. No obstante, los órganos garantes y comisiones pertinentes continúan con la facultad de decidir diferentemente.</w:t>
            </w:r>
            <w:r w:rsidRPr="00731F42">
              <w:rPr>
                <w:rFonts w:ascii="Arial" w:eastAsia="Times New Roman" w:hAnsi="Arial" w:cs="Arial"/>
                <w:sz w:val="24"/>
                <w:szCs w:val="24"/>
                <w:lang w:val="es-MX" w:eastAsia="es-ES"/>
              </w:rPr>
              <w:t xml:space="preserve"> </w:t>
            </w:r>
          </w:p>
          <w:p w:rsidR="00123C94" w:rsidRPr="002963F9" w:rsidRDefault="00123C94" w:rsidP="008F483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iCs/>
                <w:sz w:val="24"/>
                <w:szCs w:val="24"/>
                <w:lang w:val="es-MX"/>
              </w:rPr>
            </w:pPr>
          </w:p>
        </w:tc>
      </w:tr>
      <w:tr w:rsidR="002963F9" w:rsidRPr="00731F42" w:rsidTr="00123C94">
        <w:trPr>
          <w:cnfStyle w:val="000000100000" w:firstRow="0" w:lastRow="0" w:firstColumn="0" w:lastColumn="0" w:oddVBand="0" w:evenVBand="0" w:oddHBand="1" w:evenHBand="0" w:firstRowFirstColumn="0" w:firstRowLastColumn="0" w:lastRowFirstColumn="0" w:lastRowLastColumn="0"/>
          <w:trHeight w:val="813"/>
        </w:trPr>
        <w:tc>
          <w:tcPr>
            <w:cnfStyle w:val="001000000000" w:firstRow="0" w:lastRow="0" w:firstColumn="1" w:lastColumn="0" w:oddVBand="0" w:evenVBand="0" w:oddHBand="0" w:evenHBand="0" w:firstRowFirstColumn="0" w:firstRowLastColumn="0" w:lastRowFirstColumn="0" w:lastRowLastColumn="0"/>
            <w:tcW w:w="1166" w:type="pct"/>
            <w:vMerge/>
            <w:tcBorders>
              <w:top w:val="none" w:sz="0" w:space="0" w:color="auto"/>
              <w:left w:val="none" w:sz="0" w:space="0" w:color="auto"/>
              <w:bottom w:val="none" w:sz="0" w:space="0" w:color="auto"/>
            </w:tcBorders>
            <w:vAlign w:val="center"/>
          </w:tcPr>
          <w:p w:rsidR="002963F9" w:rsidRDefault="002963F9" w:rsidP="008F4832">
            <w:pPr>
              <w:jc w:val="center"/>
              <w:rPr>
                <w:rFonts w:ascii="Arial" w:eastAsia="Calibri" w:hAnsi="Arial" w:cs="Arial"/>
                <w:smallCaps/>
                <w:sz w:val="24"/>
                <w:szCs w:val="24"/>
                <w:lang w:val="es-MX"/>
              </w:rPr>
            </w:pPr>
          </w:p>
        </w:tc>
        <w:tc>
          <w:tcPr>
            <w:tcW w:w="3834" w:type="pct"/>
            <w:tcBorders>
              <w:top w:val="none" w:sz="0" w:space="0" w:color="auto"/>
              <w:bottom w:val="none" w:sz="0" w:space="0" w:color="auto"/>
              <w:right w:val="none" w:sz="0" w:space="0" w:color="auto"/>
            </w:tcBorders>
            <w:vAlign w:val="center"/>
          </w:tcPr>
          <w:p w:rsidR="002963F9" w:rsidRDefault="002963F9" w:rsidP="008F483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2963F9">
              <w:rPr>
                <w:rFonts w:ascii="Arial" w:eastAsia="Times New Roman" w:hAnsi="Arial" w:cs="Arial"/>
                <w:b/>
                <w:iCs/>
                <w:sz w:val="24"/>
                <w:szCs w:val="24"/>
                <w:lang w:val="es-MX"/>
              </w:rPr>
              <w:t>El Salvador</w:t>
            </w:r>
            <w:r>
              <w:rPr>
                <w:rFonts w:ascii="Arial" w:eastAsia="Times New Roman" w:hAnsi="Arial" w:cs="Arial"/>
                <w:iCs/>
                <w:sz w:val="24"/>
                <w:szCs w:val="24"/>
                <w:lang w:val="es-MX"/>
              </w:rPr>
              <w:t>:</w:t>
            </w:r>
          </w:p>
          <w:p w:rsidR="00731F42" w:rsidRDefault="00731F42" w:rsidP="00C02B34">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24"/>
                <w:szCs w:val="24"/>
                <w:lang w:val="es-MX" w:eastAsia="es-ES"/>
              </w:rPr>
            </w:pPr>
          </w:p>
          <w:p w:rsidR="00731F42" w:rsidRPr="00731F42" w:rsidRDefault="00731F42" w:rsidP="00C02B34">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sidRPr="00731F42">
              <w:rPr>
                <w:rFonts w:ascii="Arial" w:eastAsia="Times New Roman" w:hAnsi="Arial" w:cs="Arial"/>
                <w:sz w:val="24"/>
                <w:szCs w:val="24"/>
                <w:lang w:val="es-MX" w:eastAsia="es-ES"/>
              </w:rPr>
              <w:t>As</w:t>
            </w:r>
            <w:r>
              <w:rPr>
                <w:rFonts w:ascii="Arial" w:eastAsia="Times New Roman" w:hAnsi="Arial" w:cs="Arial"/>
                <w:sz w:val="24"/>
                <w:szCs w:val="24"/>
                <w:lang w:val="es-MX" w:eastAsia="es-ES"/>
              </w:rPr>
              <w:t xml:space="preserve">í como en el posicionamiento de Chile, la consulta al tercero en relación a informaciones de naturaleza comercial o económica </w:t>
            </w:r>
            <w:r w:rsidR="00CE384B">
              <w:rPr>
                <w:rFonts w:ascii="Arial" w:eastAsia="Times New Roman" w:hAnsi="Arial" w:cs="Arial"/>
                <w:sz w:val="24"/>
                <w:szCs w:val="24"/>
                <w:lang w:val="es-MX" w:eastAsia="es-ES"/>
              </w:rPr>
              <w:t xml:space="preserve">se muestra como una solución a ser intentada. </w:t>
            </w:r>
            <w:r w:rsidR="00B163C4">
              <w:rPr>
                <w:rFonts w:ascii="Arial" w:eastAsia="Times New Roman" w:hAnsi="Arial" w:cs="Arial"/>
                <w:sz w:val="24"/>
                <w:szCs w:val="24"/>
                <w:lang w:val="es-MX" w:eastAsia="es-ES"/>
              </w:rPr>
              <w:t xml:space="preserve">Abajo, transcribimos parte del posicionamiento de El Salvador que se refiere a este tópico. </w:t>
            </w:r>
          </w:p>
          <w:p w:rsidR="00731F42" w:rsidRDefault="00731F42" w:rsidP="00C02B34">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24"/>
                <w:szCs w:val="24"/>
                <w:lang w:val="es-MX" w:eastAsia="es-ES"/>
              </w:rPr>
            </w:pPr>
          </w:p>
          <w:p w:rsidR="00731F42" w:rsidRDefault="00731F42" w:rsidP="00C02B34">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sz w:val="24"/>
                <w:szCs w:val="24"/>
                <w:lang w:val="es-MX" w:eastAsia="es-ES"/>
              </w:rPr>
            </w:pPr>
          </w:p>
          <w:p w:rsidR="00C02B34" w:rsidRPr="00C02B34" w:rsidRDefault="00B163C4" w:rsidP="00C02B34">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color w:val="548DD4" w:themeColor="text2" w:themeTint="99"/>
                <w:sz w:val="24"/>
                <w:szCs w:val="24"/>
                <w:lang w:val="es-MX" w:eastAsia="es-ES"/>
              </w:rPr>
            </w:pPr>
            <w:r w:rsidRPr="00B12853">
              <w:rPr>
                <w:rFonts w:ascii="Arial" w:eastAsia="Times New Roman" w:hAnsi="Arial" w:cs="Arial"/>
                <w:i/>
                <w:color w:val="548DD4" w:themeColor="text2" w:themeTint="99"/>
                <w:sz w:val="24"/>
                <w:szCs w:val="24"/>
                <w:lang w:val="es-MX" w:eastAsia="es-ES"/>
              </w:rPr>
              <w:t>“</w:t>
            </w:r>
            <w:r w:rsidR="00C02B34" w:rsidRPr="00C02B34">
              <w:rPr>
                <w:rFonts w:ascii="Arial" w:eastAsia="Times New Roman" w:hAnsi="Arial" w:cs="Arial"/>
                <w:i/>
                <w:color w:val="548DD4" w:themeColor="text2" w:themeTint="99"/>
                <w:sz w:val="24"/>
                <w:szCs w:val="24"/>
                <w:lang w:val="es-MX" w:eastAsia="es-ES"/>
              </w:rPr>
              <w:t xml:space="preserve">Por otra parte, el Reglamento de la Ley de Acceso a la Información Pública establece el procedimiento a seguir en caso que se requiera consultar el consentimiento para divulgar información, de tal suerte que en caso que el consentimiento deberá ser en un escrito separado a cualquier otro documento y </w:t>
            </w:r>
            <w:r w:rsidR="00C02B34" w:rsidRPr="00C02B34">
              <w:rPr>
                <w:rFonts w:ascii="Arial" w:eastAsia="Times New Roman" w:hAnsi="Arial" w:cs="Arial"/>
                <w:i/>
                <w:color w:val="548DD4" w:themeColor="text2" w:themeTint="99"/>
                <w:sz w:val="24"/>
                <w:szCs w:val="24"/>
                <w:lang w:val="es-MX" w:eastAsia="es-ES"/>
              </w:rPr>
              <w:lastRenderedPageBreak/>
              <w:t>deberá expresarse para cada caso en concreto, en dónde se debe mencionar la información que se permite revelar, la aceptación de revelarla y datos generales de la persona que autoriza revelar la información.</w:t>
            </w:r>
            <w:r w:rsidRPr="00B12853">
              <w:rPr>
                <w:rFonts w:ascii="Arial" w:eastAsia="Times New Roman" w:hAnsi="Arial" w:cs="Arial"/>
                <w:i/>
                <w:color w:val="548DD4" w:themeColor="text2" w:themeTint="99"/>
                <w:sz w:val="24"/>
                <w:szCs w:val="24"/>
                <w:lang w:val="es-MX" w:eastAsia="es-ES"/>
              </w:rPr>
              <w:t>”</w:t>
            </w:r>
          </w:p>
          <w:p w:rsidR="002963F9" w:rsidRPr="00731F42" w:rsidRDefault="002963F9" w:rsidP="00731F4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tc>
      </w:tr>
      <w:tr w:rsidR="002963F9" w:rsidRPr="008F4832" w:rsidTr="00123C94">
        <w:trPr>
          <w:trHeight w:val="840"/>
        </w:trPr>
        <w:tc>
          <w:tcPr>
            <w:cnfStyle w:val="001000000000" w:firstRow="0" w:lastRow="0" w:firstColumn="1" w:lastColumn="0" w:oddVBand="0" w:evenVBand="0" w:oddHBand="0" w:evenHBand="0" w:firstRowFirstColumn="0" w:firstRowLastColumn="0" w:lastRowFirstColumn="0" w:lastRowLastColumn="0"/>
            <w:tcW w:w="1166" w:type="pct"/>
            <w:vMerge/>
            <w:vAlign w:val="center"/>
          </w:tcPr>
          <w:p w:rsidR="002963F9" w:rsidRPr="00731F42" w:rsidRDefault="002963F9" w:rsidP="008F4832">
            <w:pPr>
              <w:jc w:val="center"/>
              <w:rPr>
                <w:rFonts w:ascii="Arial" w:eastAsia="Calibri" w:hAnsi="Arial" w:cs="Arial"/>
                <w:smallCaps/>
                <w:sz w:val="24"/>
                <w:szCs w:val="24"/>
              </w:rPr>
            </w:pPr>
          </w:p>
        </w:tc>
        <w:tc>
          <w:tcPr>
            <w:tcW w:w="3834" w:type="pct"/>
            <w:vAlign w:val="center"/>
          </w:tcPr>
          <w:p w:rsidR="002963F9" w:rsidRDefault="002963F9" w:rsidP="008F483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2963F9">
              <w:rPr>
                <w:rFonts w:ascii="Arial" w:eastAsia="Times New Roman" w:hAnsi="Arial" w:cs="Arial"/>
                <w:b/>
                <w:iCs/>
                <w:sz w:val="24"/>
                <w:szCs w:val="24"/>
                <w:lang w:val="es-MX"/>
              </w:rPr>
              <w:t>España</w:t>
            </w:r>
            <w:r>
              <w:rPr>
                <w:rFonts w:ascii="Arial" w:eastAsia="Times New Roman" w:hAnsi="Arial" w:cs="Arial"/>
                <w:iCs/>
                <w:sz w:val="24"/>
                <w:szCs w:val="24"/>
                <w:lang w:val="es-MX"/>
              </w:rPr>
              <w:t>:</w:t>
            </w:r>
          </w:p>
          <w:p w:rsidR="0050076C" w:rsidRDefault="0050076C" w:rsidP="008F483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364FF3" w:rsidRDefault="002F66A9" w:rsidP="008F483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Destacamos un extracto del posicionamiento de España:</w:t>
            </w:r>
          </w:p>
          <w:p w:rsidR="002F66A9" w:rsidRDefault="002F66A9" w:rsidP="008F483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E45FB5" w:rsidRPr="00B12853" w:rsidRDefault="002F66A9" w:rsidP="00E45FB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48DD4" w:themeColor="text2" w:themeTint="99"/>
                <w:sz w:val="24"/>
                <w:szCs w:val="24"/>
                <w:lang w:val="es-MX" w:eastAsia="es-ES"/>
              </w:rPr>
            </w:pPr>
            <w:r w:rsidRPr="00B12853">
              <w:rPr>
                <w:rFonts w:ascii="Arial" w:eastAsia="Times New Roman" w:hAnsi="Arial" w:cs="Arial"/>
                <w:color w:val="548DD4" w:themeColor="text2" w:themeTint="99"/>
                <w:sz w:val="24"/>
                <w:szCs w:val="24"/>
                <w:lang w:val="es-MX" w:eastAsia="es-ES"/>
              </w:rPr>
              <w:t>“</w:t>
            </w:r>
            <w:r w:rsidR="00E45FB5" w:rsidRPr="00E45FB5">
              <w:rPr>
                <w:rFonts w:ascii="Arial" w:eastAsia="Times New Roman" w:hAnsi="Arial" w:cs="Arial"/>
                <w:color w:val="548DD4" w:themeColor="text2" w:themeTint="99"/>
                <w:sz w:val="24"/>
                <w:szCs w:val="24"/>
                <w:lang w:val="es-MX" w:eastAsia="es-ES"/>
              </w:rPr>
              <w:t>A la hora de resolver las reclamaciones que se presenten en este caso, el CTBG realiza el doble test ( del perjuicio y del interés) a la hora de analizar si es de aplicación el límite. Es decir, primer se analiza si del acceso a la información puede derivarse un perjuicio y, posteriormente, si, a pesar de ese daño, existe un interés superi</w:t>
            </w:r>
            <w:r w:rsidRPr="00B12853">
              <w:rPr>
                <w:rFonts w:ascii="Arial" w:eastAsia="Times New Roman" w:hAnsi="Arial" w:cs="Arial"/>
                <w:color w:val="548DD4" w:themeColor="text2" w:themeTint="99"/>
                <w:sz w:val="24"/>
                <w:szCs w:val="24"/>
                <w:lang w:val="es-MX" w:eastAsia="es-ES"/>
              </w:rPr>
              <w:t>or que justifique el acceso.”</w:t>
            </w:r>
          </w:p>
          <w:p w:rsidR="002F66A9" w:rsidRDefault="002F66A9" w:rsidP="00E45FB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p>
          <w:p w:rsidR="002F66A9" w:rsidRPr="00E45FB5" w:rsidRDefault="002F66A9" w:rsidP="00E45FB5">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También en Brasil se analiza si del acceso a la información puede derivarse un perjuicio o daño a la empresa</w:t>
            </w:r>
            <w:r w:rsidR="009B33CA">
              <w:rPr>
                <w:rFonts w:ascii="Arial" w:eastAsia="Times New Roman" w:hAnsi="Arial" w:cs="Arial"/>
                <w:sz w:val="24"/>
                <w:szCs w:val="24"/>
                <w:lang w:val="es-MX" w:eastAsia="es-ES"/>
              </w:rPr>
              <w:t xml:space="preserve"> estatal o al tercero afectado, </w:t>
            </w:r>
            <w:r w:rsidR="00275D5F">
              <w:rPr>
                <w:rFonts w:ascii="Arial" w:eastAsia="Times New Roman" w:hAnsi="Arial" w:cs="Arial"/>
                <w:sz w:val="24"/>
                <w:szCs w:val="24"/>
                <w:lang w:val="es-MX" w:eastAsia="es-ES"/>
              </w:rPr>
              <w:t>un análisis</w:t>
            </w:r>
            <w:r w:rsidR="009B33CA">
              <w:rPr>
                <w:rFonts w:ascii="Arial" w:eastAsia="Times New Roman" w:hAnsi="Arial" w:cs="Arial"/>
                <w:sz w:val="24"/>
                <w:szCs w:val="24"/>
                <w:lang w:val="es-MX" w:eastAsia="es-ES"/>
              </w:rPr>
              <w:t xml:space="preserve"> que es importante para decidir por la divulgación de la información.</w:t>
            </w:r>
          </w:p>
          <w:p w:rsidR="0050076C" w:rsidRDefault="0050076C" w:rsidP="008F483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p w:rsidR="002963F9" w:rsidRPr="002963F9" w:rsidRDefault="002963F9" w:rsidP="008F4832">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tc>
      </w:tr>
      <w:tr w:rsidR="00123C94" w:rsidRPr="00DF7177" w:rsidTr="00123C94">
        <w:trPr>
          <w:cnfStyle w:val="000000100000" w:firstRow="0" w:lastRow="0" w:firstColumn="0" w:lastColumn="0" w:oddVBand="0" w:evenVBand="0" w:oddHBand="1" w:evenHBand="0" w:firstRowFirstColumn="0" w:firstRowLastColumn="0" w:lastRowFirstColumn="0" w:lastRowLastColumn="0"/>
          <w:trHeight w:val="840"/>
        </w:trPr>
        <w:tc>
          <w:tcPr>
            <w:cnfStyle w:val="001000000000" w:firstRow="0" w:lastRow="0" w:firstColumn="1" w:lastColumn="0" w:oddVBand="0" w:evenVBand="0" w:oddHBand="0" w:evenHBand="0" w:firstRowFirstColumn="0" w:firstRowLastColumn="0" w:lastRowFirstColumn="0" w:lastRowLastColumn="0"/>
            <w:tcW w:w="1166" w:type="pct"/>
            <w:vMerge/>
            <w:tcBorders>
              <w:top w:val="none" w:sz="0" w:space="0" w:color="auto"/>
              <w:left w:val="none" w:sz="0" w:space="0" w:color="auto"/>
              <w:bottom w:val="none" w:sz="0" w:space="0" w:color="auto"/>
            </w:tcBorders>
            <w:vAlign w:val="center"/>
          </w:tcPr>
          <w:p w:rsidR="00123C94" w:rsidRDefault="00123C94" w:rsidP="008F4832">
            <w:pPr>
              <w:jc w:val="center"/>
              <w:rPr>
                <w:rFonts w:ascii="Arial" w:eastAsia="Calibri" w:hAnsi="Arial" w:cs="Arial"/>
                <w:smallCaps/>
                <w:sz w:val="24"/>
                <w:szCs w:val="24"/>
                <w:lang w:val="es-MX"/>
              </w:rPr>
            </w:pPr>
          </w:p>
        </w:tc>
        <w:tc>
          <w:tcPr>
            <w:tcW w:w="3834" w:type="pct"/>
            <w:tcBorders>
              <w:top w:val="none" w:sz="0" w:space="0" w:color="auto"/>
              <w:bottom w:val="none" w:sz="0" w:space="0" w:color="auto"/>
              <w:right w:val="none" w:sz="0" w:space="0" w:color="auto"/>
            </w:tcBorders>
            <w:vAlign w:val="center"/>
          </w:tcPr>
          <w:p w:rsidR="00123C94" w:rsidRDefault="00123C94" w:rsidP="00123C94">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sidRPr="002963F9">
              <w:rPr>
                <w:rFonts w:ascii="Arial" w:eastAsia="Times New Roman" w:hAnsi="Arial" w:cs="Arial"/>
                <w:b/>
                <w:iCs/>
                <w:sz w:val="24"/>
                <w:szCs w:val="24"/>
                <w:lang w:val="es-MX"/>
              </w:rPr>
              <w:t>México</w:t>
            </w:r>
            <w:r>
              <w:rPr>
                <w:rFonts w:ascii="Arial" w:eastAsia="Times New Roman" w:hAnsi="Arial" w:cs="Arial"/>
                <w:iCs/>
                <w:sz w:val="24"/>
                <w:szCs w:val="24"/>
                <w:lang w:val="es-MX"/>
              </w:rPr>
              <w:t>:</w:t>
            </w:r>
          </w:p>
          <w:p w:rsidR="003D1D49" w:rsidRDefault="003D1D49" w:rsidP="00DA12E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ES_tradnl" w:eastAsia="es-ES"/>
              </w:rPr>
            </w:pPr>
          </w:p>
          <w:p w:rsidR="003D1D49" w:rsidRDefault="003D1D49" w:rsidP="003D1D49">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 xml:space="preserve">Destacamos </w:t>
            </w:r>
            <w:r w:rsidR="001F1D77">
              <w:rPr>
                <w:rFonts w:ascii="Arial" w:eastAsia="Times New Roman" w:hAnsi="Arial" w:cs="Arial"/>
                <w:iCs/>
                <w:sz w:val="24"/>
                <w:szCs w:val="24"/>
                <w:lang w:val="es-MX"/>
              </w:rPr>
              <w:t>el</w:t>
            </w:r>
            <w:r>
              <w:rPr>
                <w:rFonts w:ascii="Arial" w:eastAsia="Times New Roman" w:hAnsi="Arial" w:cs="Arial"/>
                <w:iCs/>
                <w:sz w:val="24"/>
                <w:szCs w:val="24"/>
                <w:lang w:val="es-MX"/>
              </w:rPr>
              <w:t xml:space="preserve"> siguiente extracto del posicionamiento de México:</w:t>
            </w:r>
          </w:p>
          <w:p w:rsidR="003D1D49" w:rsidRPr="003D1D49" w:rsidRDefault="003D1D49" w:rsidP="00DA12EC">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p>
          <w:p w:rsidR="003D1D49" w:rsidRPr="00DA12EC" w:rsidRDefault="001F1D77" w:rsidP="003D1D49">
            <w:pPr>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es-ES"/>
              </w:rPr>
            </w:pPr>
            <w:r>
              <w:rPr>
                <w:rFonts w:ascii="Arial" w:eastAsia="Times New Roman" w:hAnsi="Arial" w:cs="Arial"/>
                <w:sz w:val="24"/>
                <w:szCs w:val="24"/>
                <w:lang w:eastAsia="es-ES"/>
              </w:rPr>
              <w:t>“</w:t>
            </w:r>
          </w:p>
          <w:p w:rsidR="00FC1E5D" w:rsidRPr="00FC1E5D" w:rsidRDefault="00FC1E5D" w:rsidP="00FC1E5D">
            <w:pPr>
              <w:numPr>
                <w:ilvl w:val="0"/>
                <w:numId w:val="5"/>
              </w:numPr>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31849B" w:themeColor="accent5" w:themeShade="BF"/>
                <w:sz w:val="24"/>
                <w:szCs w:val="24"/>
                <w:lang w:val="es-MX" w:eastAsia="es-ES"/>
              </w:rPr>
            </w:pPr>
            <w:r w:rsidRPr="00FC1E5D">
              <w:rPr>
                <w:rFonts w:ascii="Arial" w:eastAsia="Times New Roman" w:hAnsi="Arial" w:cs="Arial"/>
                <w:color w:val="31849B" w:themeColor="accent5" w:themeShade="BF"/>
                <w:sz w:val="24"/>
                <w:szCs w:val="24"/>
                <w:lang w:val="es-MX" w:eastAsia="es-ES"/>
              </w:rPr>
              <w:t>Actualmente ¿cuál es el proceso que se sigue en su Institución para dar acceso o en su caso, negar el mismo, a información de terceros que incluyan datos relacionados con derechos económicos y comerciales?</w:t>
            </w:r>
          </w:p>
          <w:p w:rsidR="00FC1E5D" w:rsidRPr="00FC1E5D" w:rsidRDefault="00FC1E5D" w:rsidP="00FC1E5D">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p>
          <w:p w:rsidR="00FC1E5D" w:rsidRPr="00FC1E5D" w:rsidRDefault="00FC1E5D" w:rsidP="00FC1E5D">
            <w:pPr>
              <w:numPr>
                <w:ilvl w:val="0"/>
                <w:numId w:val="7"/>
              </w:numPr>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48DD4" w:themeColor="text2" w:themeTint="99"/>
                <w:sz w:val="24"/>
                <w:szCs w:val="24"/>
                <w:lang w:val="es-MX" w:eastAsia="es-ES"/>
              </w:rPr>
            </w:pPr>
            <w:r w:rsidRPr="00FC1E5D">
              <w:rPr>
                <w:rFonts w:ascii="Arial" w:eastAsia="Times New Roman" w:hAnsi="Arial" w:cs="Arial"/>
                <w:color w:val="548DD4" w:themeColor="text2" w:themeTint="99"/>
                <w:sz w:val="24"/>
                <w:szCs w:val="24"/>
                <w:lang w:val="es-MX" w:eastAsia="es-ES"/>
              </w:rPr>
              <w:lastRenderedPageBreak/>
              <w:t>El particular requiere la información al sujeto obligado.</w:t>
            </w:r>
          </w:p>
          <w:p w:rsidR="00FC1E5D" w:rsidRPr="00FC1E5D" w:rsidRDefault="00FC1E5D" w:rsidP="00FC1E5D">
            <w:pPr>
              <w:numPr>
                <w:ilvl w:val="0"/>
                <w:numId w:val="7"/>
              </w:numPr>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48DD4" w:themeColor="text2" w:themeTint="99"/>
                <w:sz w:val="24"/>
                <w:szCs w:val="24"/>
                <w:lang w:val="es-MX" w:eastAsia="es-ES"/>
              </w:rPr>
            </w:pPr>
            <w:r w:rsidRPr="00FC1E5D">
              <w:rPr>
                <w:rFonts w:ascii="Arial" w:eastAsia="Times New Roman" w:hAnsi="Arial" w:cs="Arial"/>
                <w:color w:val="548DD4" w:themeColor="text2" w:themeTint="99"/>
                <w:sz w:val="24"/>
                <w:szCs w:val="24"/>
                <w:lang w:val="es-MX" w:eastAsia="es-ES"/>
              </w:rPr>
              <w:t>El sujeto obligado, a través de su Unidad de Transparencia, turna la solicitud de información a las áreas competentes dentro de la institución.</w:t>
            </w:r>
          </w:p>
          <w:p w:rsidR="00FC1E5D" w:rsidRPr="00FC1E5D" w:rsidRDefault="00FC1E5D" w:rsidP="00FC1E5D">
            <w:pPr>
              <w:numPr>
                <w:ilvl w:val="0"/>
                <w:numId w:val="7"/>
              </w:numPr>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48DD4" w:themeColor="text2" w:themeTint="99"/>
                <w:sz w:val="24"/>
                <w:szCs w:val="24"/>
                <w:lang w:val="es-MX" w:eastAsia="es-ES"/>
              </w:rPr>
            </w:pPr>
            <w:r w:rsidRPr="00FC1E5D">
              <w:rPr>
                <w:rFonts w:ascii="Arial" w:eastAsia="Times New Roman" w:hAnsi="Arial" w:cs="Arial"/>
                <w:color w:val="548DD4" w:themeColor="text2" w:themeTint="99"/>
                <w:sz w:val="24"/>
                <w:szCs w:val="24"/>
                <w:lang w:val="es-MX" w:eastAsia="es-ES"/>
              </w:rPr>
              <w:t>La unidad administrativa competente del sujeto obligado analiza la procedencia de entrega de la información.</w:t>
            </w:r>
          </w:p>
          <w:p w:rsidR="00FC1E5D" w:rsidRPr="00FC1E5D" w:rsidRDefault="00FC1E5D" w:rsidP="00FC1E5D">
            <w:pPr>
              <w:numPr>
                <w:ilvl w:val="0"/>
                <w:numId w:val="7"/>
              </w:numPr>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48DD4" w:themeColor="text2" w:themeTint="99"/>
                <w:sz w:val="24"/>
                <w:szCs w:val="24"/>
                <w:lang w:val="es-MX" w:eastAsia="es-ES"/>
              </w:rPr>
            </w:pPr>
            <w:r w:rsidRPr="00FC1E5D">
              <w:rPr>
                <w:rFonts w:ascii="Arial" w:eastAsia="Times New Roman" w:hAnsi="Arial" w:cs="Arial"/>
                <w:color w:val="548DD4" w:themeColor="text2" w:themeTint="99"/>
                <w:sz w:val="24"/>
                <w:szCs w:val="24"/>
                <w:lang w:val="es-MX" w:eastAsia="es-ES"/>
              </w:rPr>
              <w:t>En caso de que el documento requerido contenga información confidencial de terceros, la unidad administrativa clasifica la información y la somete al estudio del Comité de Transparencia.</w:t>
            </w:r>
          </w:p>
          <w:p w:rsidR="00FC1E5D" w:rsidRPr="00FC1E5D" w:rsidRDefault="00FC1E5D" w:rsidP="00FC1E5D">
            <w:pPr>
              <w:numPr>
                <w:ilvl w:val="0"/>
                <w:numId w:val="7"/>
              </w:numPr>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48DD4" w:themeColor="text2" w:themeTint="99"/>
                <w:sz w:val="24"/>
                <w:szCs w:val="24"/>
                <w:lang w:val="es-MX" w:eastAsia="es-ES"/>
              </w:rPr>
            </w:pPr>
            <w:r w:rsidRPr="00FC1E5D">
              <w:rPr>
                <w:rFonts w:ascii="Arial" w:eastAsia="Times New Roman" w:hAnsi="Arial" w:cs="Arial"/>
                <w:color w:val="548DD4" w:themeColor="text2" w:themeTint="99"/>
                <w:sz w:val="24"/>
                <w:szCs w:val="24"/>
                <w:lang w:val="es-MX" w:eastAsia="es-ES"/>
              </w:rPr>
              <w:t xml:space="preserve">El Comité de Transparencia tiene dentro de sus facultades </w:t>
            </w:r>
            <w:r w:rsidRPr="00FC1E5D">
              <w:rPr>
                <w:rFonts w:ascii="Arial" w:eastAsia="Times New Roman" w:hAnsi="Arial" w:cs="Arial"/>
                <w:color w:val="548DD4" w:themeColor="text2" w:themeTint="99"/>
                <w:sz w:val="24"/>
                <w:szCs w:val="24"/>
                <w:lang w:eastAsia="es-ES"/>
              </w:rPr>
              <w:t>confirmar, modificar o revocar las determinaciones de las unidades administrativas, en materia de clasificación de la información</w:t>
            </w:r>
            <w:r w:rsidRPr="00FC1E5D">
              <w:rPr>
                <w:rFonts w:ascii="Arial" w:eastAsia="Times New Roman" w:hAnsi="Arial" w:cs="Arial"/>
                <w:color w:val="548DD4" w:themeColor="text2" w:themeTint="99"/>
                <w:sz w:val="24"/>
                <w:szCs w:val="24"/>
                <w:lang w:val="es-MX" w:eastAsia="es-ES"/>
              </w:rPr>
              <w:t>.</w:t>
            </w:r>
          </w:p>
          <w:p w:rsidR="00FC1E5D" w:rsidRPr="00FC1E5D" w:rsidRDefault="00FC1E5D" w:rsidP="00FC1E5D">
            <w:pPr>
              <w:numPr>
                <w:ilvl w:val="0"/>
                <w:numId w:val="7"/>
              </w:numPr>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548DD4" w:themeColor="text2" w:themeTint="99"/>
                <w:sz w:val="24"/>
                <w:szCs w:val="24"/>
                <w:lang w:val="es-MX" w:eastAsia="es-ES"/>
              </w:rPr>
            </w:pPr>
            <w:r w:rsidRPr="00FC1E5D">
              <w:rPr>
                <w:rFonts w:ascii="Arial" w:eastAsia="Times New Roman" w:hAnsi="Arial" w:cs="Arial"/>
                <w:color w:val="548DD4" w:themeColor="text2" w:themeTint="99"/>
                <w:sz w:val="24"/>
                <w:szCs w:val="24"/>
                <w:lang w:val="es-MX" w:eastAsia="es-ES"/>
              </w:rPr>
              <w:t>Si el Comité de Transparencia aprueba los términos de la clasificación propuesta por la unidad administrativa, se emite un acta debidamente firmada por los integrantes del Comité y se notifica al particular la confidencialidad de la información requerida.</w:t>
            </w:r>
          </w:p>
          <w:p w:rsidR="00FC1E5D" w:rsidRDefault="00FC1E5D" w:rsidP="00FC1E5D">
            <w:pPr>
              <w:numPr>
                <w:ilvl w:val="0"/>
                <w:numId w:val="7"/>
              </w:numPr>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sidRPr="00FC1E5D">
              <w:rPr>
                <w:rFonts w:ascii="Arial" w:eastAsia="Times New Roman" w:hAnsi="Arial" w:cs="Arial"/>
                <w:color w:val="548DD4" w:themeColor="text2" w:themeTint="99"/>
                <w:sz w:val="24"/>
                <w:szCs w:val="24"/>
                <w:lang w:val="es-MX" w:eastAsia="es-ES"/>
              </w:rPr>
              <w:t>El particular cuenta con 15 días hábiles para impugnar ante el INAI, la negativa de entrega que fue manifestada por el Comité de Transparencia del sujeto obligado.</w:t>
            </w:r>
            <w:r w:rsidR="001F1D77" w:rsidRPr="00B12853">
              <w:rPr>
                <w:rFonts w:ascii="Arial" w:eastAsia="Times New Roman" w:hAnsi="Arial" w:cs="Arial"/>
                <w:color w:val="548DD4" w:themeColor="text2" w:themeTint="99"/>
                <w:sz w:val="24"/>
                <w:szCs w:val="24"/>
                <w:lang w:val="es-MX" w:eastAsia="es-ES"/>
              </w:rPr>
              <w:t>”</w:t>
            </w:r>
          </w:p>
          <w:p w:rsidR="001F1D77" w:rsidRDefault="001F1D77" w:rsidP="001F1D77">
            <w:pPr>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p>
          <w:p w:rsidR="001F1D77" w:rsidRDefault="007B0F72" w:rsidP="001F1D77">
            <w:pPr>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A ese </w:t>
            </w:r>
            <w:r w:rsidR="007E19B7">
              <w:rPr>
                <w:rFonts w:ascii="Arial" w:eastAsia="Times New Roman" w:hAnsi="Arial" w:cs="Arial"/>
                <w:sz w:val="24"/>
                <w:szCs w:val="24"/>
                <w:lang w:val="es-MX" w:eastAsia="es-ES"/>
              </w:rPr>
              <w:t>respecto, en Brasil no existe previsión de clasificación de información confidencial de terceros, sea personal, comercial, fiscal, etc. Estas informaciones tienen naturalmente acceso restricto. En Brasil existe, sí, una formalidad de clasificación, que se aplica solamente a informaciones que se encajen en el art. 23 de la Ley 12.527/11, aquellas consideradas imprescindibles a la seguridad de la sociedad o del Estado. Estas mismas informaciones pueden ser desclasificadas por la autoridad clasificadora, la autoridad máxima del órgano o la Comisión Mista de Reevaluación de Informaciones Clasificadas - CMRI.</w:t>
            </w:r>
          </w:p>
          <w:p w:rsidR="007E19B7" w:rsidRDefault="007E19B7" w:rsidP="001F1D77">
            <w:pPr>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p>
          <w:p w:rsidR="007E19B7" w:rsidRPr="00FC1E5D" w:rsidRDefault="007E19B7" w:rsidP="001F1D77">
            <w:pPr>
              <w:contextualSpacing/>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En todo caso, la CMRI y la CGU pueden evaluar informaciones económicas/comerciales que hayan sido consideradas </w:t>
            </w:r>
            <w:r w:rsidR="00B27D0B">
              <w:rPr>
                <w:rFonts w:ascii="Arial" w:eastAsia="Times New Roman" w:hAnsi="Arial" w:cs="Arial"/>
                <w:sz w:val="24"/>
                <w:szCs w:val="24"/>
                <w:lang w:val="es-MX" w:eastAsia="es-ES"/>
              </w:rPr>
              <w:t xml:space="preserve">restrictas </w:t>
            </w:r>
            <w:r>
              <w:rPr>
                <w:rFonts w:ascii="Arial" w:eastAsia="Times New Roman" w:hAnsi="Arial" w:cs="Arial"/>
                <w:sz w:val="24"/>
                <w:szCs w:val="24"/>
                <w:lang w:val="es-MX" w:eastAsia="es-ES"/>
              </w:rPr>
              <w:t xml:space="preserve">por los sujetos obligados, decidiendo </w:t>
            </w:r>
            <w:r w:rsidR="00DF7177">
              <w:rPr>
                <w:rFonts w:ascii="Arial" w:eastAsia="Times New Roman" w:hAnsi="Arial" w:cs="Arial"/>
                <w:sz w:val="24"/>
                <w:szCs w:val="24"/>
                <w:lang w:val="es-MX" w:eastAsia="es-ES"/>
              </w:rPr>
              <w:t>diferentemente, por el proceso regular de la Ley.</w:t>
            </w:r>
          </w:p>
          <w:p w:rsidR="00123C94" w:rsidRPr="00DF7177" w:rsidRDefault="00123C94" w:rsidP="008F483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iCs/>
                <w:sz w:val="24"/>
                <w:szCs w:val="24"/>
              </w:rPr>
            </w:pPr>
          </w:p>
        </w:tc>
      </w:tr>
      <w:tr w:rsidR="002963F9" w:rsidRPr="008F4832" w:rsidTr="00123C94">
        <w:trPr>
          <w:trHeight w:val="1107"/>
        </w:trPr>
        <w:tc>
          <w:tcPr>
            <w:cnfStyle w:val="001000000000" w:firstRow="0" w:lastRow="0" w:firstColumn="1" w:lastColumn="0" w:oddVBand="0" w:evenVBand="0" w:oddHBand="0" w:evenHBand="0" w:firstRowFirstColumn="0" w:firstRowLastColumn="0" w:lastRowFirstColumn="0" w:lastRowLastColumn="0"/>
            <w:tcW w:w="1166" w:type="pct"/>
            <w:vMerge/>
            <w:vAlign w:val="center"/>
          </w:tcPr>
          <w:p w:rsidR="002963F9" w:rsidRPr="00DF7177" w:rsidRDefault="002963F9" w:rsidP="008F4832">
            <w:pPr>
              <w:jc w:val="center"/>
              <w:rPr>
                <w:rFonts w:ascii="Arial" w:eastAsia="Calibri" w:hAnsi="Arial" w:cs="Arial"/>
                <w:smallCaps/>
                <w:sz w:val="24"/>
                <w:szCs w:val="24"/>
              </w:rPr>
            </w:pPr>
          </w:p>
        </w:tc>
        <w:tc>
          <w:tcPr>
            <w:tcW w:w="3834" w:type="pct"/>
            <w:vAlign w:val="center"/>
          </w:tcPr>
          <w:p w:rsidR="002963F9" w:rsidRDefault="00123C94" w:rsidP="00123C9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sidRPr="00123C94">
              <w:rPr>
                <w:rFonts w:ascii="Arial" w:eastAsia="Times New Roman" w:hAnsi="Arial" w:cs="Arial"/>
                <w:b/>
                <w:iCs/>
                <w:sz w:val="24"/>
                <w:szCs w:val="24"/>
                <w:lang w:val="es-MX"/>
              </w:rPr>
              <w:t>Perú</w:t>
            </w:r>
            <w:r>
              <w:rPr>
                <w:rFonts w:ascii="Arial" w:eastAsia="Times New Roman" w:hAnsi="Arial" w:cs="Arial"/>
                <w:iCs/>
                <w:sz w:val="24"/>
                <w:szCs w:val="24"/>
                <w:lang w:val="es-MX"/>
              </w:rPr>
              <w:t>:</w:t>
            </w:r>
          </w:p>
          <w:p w:rsidR="00DD7603" w:rsidRDefault="00DD7603" w:rsidP="00C02B3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rPr>
            </w:pPr>
          </w:p>
          <w:p w:rsidR="00DD7603" w:rsidRDefault="00DD7603" w:rsidP="00DD7603">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r>
              <w:rPr>
                <w:rFonts w:ascii="Arial" w:eastAsia="Times New Roman" w:hAnsi="Arial" w:cs="Arial"/>
                <w:iCs/>
                <w:sz w:val="24"/>
                <w:szCs w:val="24"/>
                <w:lang w:val="es-MX"/>
              </w:rPr>
              <w:t>Destacamos el siguiente extracto del posicionamiento de Peru</w:t>
            </w:r>
            <w:r w:rsidR="001F0852">
              <w:rPr>
                <w:rFonts w:ascii="Arial" w:eastAsia="Times New Roman" w:hAnsi="Arial" w:cs="Arial"/>
                <w:iCs/>
                <w:sz w:val="24"/>
                <w:szCs w:val="24"/>
                <w:lang w:val="es-MX"/>
              </w:rPr>
              <w:t>, en consonancia con otros posicionamientos ya presentados</w:t>
            </w:r>
            <w:r>
              <w:rPr>
                <w:rFonts w:ascii="Arial" w:eastAsia="Times New Roman" w:hAnsi="Arial" w:cs="Arial"/>
                <w:iCs/>
                <w:sz w:val="24"/>
                <w:szCs w:val="24"/>
                <w:lang w:val="es-MX"/>
              </w:rPr>
              <w:t>:</w:t>
            </w:r>
          </w:p>
          <w:p w:rsidR="00DD7603" w:rsidRPr="00DD7603" w:rsidRDefault="00DD7603" w:rsidP="00C02B3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es-MX"/>
              </w:rPr>
            </w:pPr>
          </w:p>
          <w:p w:rsidR="00C02B34" w:rsidRPr="00C02B34" w:rsidRDefault="00B12853" w:rsidP="00C02B3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48DD4" w:themeColor="text2" w:themeTint="99"/>
                <w:sz w:val="24"/>
                <w:szCs w:val="24"/>
              </w:rPr>
            </w:pPr>
            <w:r w:rsidRPr="00B12853">
              <w:rPr>
                <w:rFonts w:ascii="Arial" w:eastAsia="Times New Roman" w:hAnsi="Arial" w:cs="Arial"/>
                <w:color w:val="548DD4" w:themeColor="text2" w:themeTint="99"/>
                <w:sz w:val="24"/>
                <w:szCs w:val="24"/>
                <w:lang w:val="es-MX"/>
              </w:rPr>
              <w:t>“</w:t>
            </w:r>
            <w:r w:rsidR="00C02B34" w:rsidRPr="00C02B34">
              <w:rPr>
                <w:rFonts w:ascii="Arial" w:eastAsia="Times New Roman" w:hAnsi="Arial" w:cs="Arial"/>
                <w:color w:val="548DD4" w:themeColor="text2" w:themeTint="99"/>
                <w:sz w:val="24"/>
                <w:szCs w:val="24"/>
              </w:rPr>
              <w:t xml:space="preserve">Sin embargo, como veremos más adelante, no se cuentan con definiciones vinculantes suficientes para definir dichos conceptos. </w:t>
            </w:r>
          </w:p>
          <w:p w:rsidR="00C02B34" w:rsidRPr="00C02B34" w:rsidRDefault="00C02B34" w:rsidP="00C02B3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48DD4" w:themeColor="text2" w:themeTint="99"/>
                <w:sz w:val="24"/>
                <w:szCs w:val="24"/>
              </w:rPr>
            </w:pPr>
            <w:r w:rsidRPr="00C02B34">
              <w:rPr>
                <w:rFonts w:ascii="Arial" w:eastAsia="Times New Roman" w:hAnsi="Arial" w:cs="Arial"/>
                <w:color w:val="548DD4" w:themeColor="text2" w:themeTint="99"/>
                <w:sz w:val="24"/>
                <w:szCs w:val="24"/>
              </w:rPr>
              <w:t xml:space="preserve"> </w:t>
            </w:r>
          </w:p>
          <w:p w:rsidR="00C02B34" w:rsidRPr="00C02B34" w:rsidRDefault="00C02B34" w:rsidP="00C02B3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48DD4" w:themeColor="text2" w:themeTint="99"/>
                <w:sz w:val="24"/>
                <w:szCs w:val="24"/>
              </w:rPr>
            </w:pPr>
            <w:r w:rsidRPr="00C02B34">
              <w:rPr>
                <w:rFonts w:ascii="Arial" w:eastAsia="Times New Roman" w:hAnsi="Arial" w:cs="Arial"/>
                <w:color w:val="548DD4" w:themeColor="text2" w:themeTint="99"/>
                <w:sz w:val="24"/>
                <w:szCs w:val="24"/>
              </w:rPr>
              <w:t>De allí que, si bien se advierte que los derechos económicos y comerciales de terceros son una limitación constitucional al derecho de acceso a la información pública, el marco legal vigente es insuficiente.</w:t>
            </w:r>
          </w:p>
          <w:p w:rsidR="00C02B34" w:rsidRPr="00C02B34" w:rsidRDefault="00C02B34" w:rsidP="00C02B3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48DD4" w:themeColor="text2" w:themeTint="99"/>
                <w:sz w:val="24"/>
                <w:szCs w:val="24"/>
              </w:rPr>
            </w:pPr>
          </w:p>
          <w:p w:rsidR="00C02B34" w:rsidRPr="00C02B34" w:rsidRDefault="00C02B34" w:rsidP="00C02B3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48DD4" w:themeColor="text2" w:themeTint="99"/>
                <w:sz w:val="24"/>
                <w:szCs w:val="24"/>
              </w:rPr>
            </w:pPr>
            <w:r w:rsidRPr="00C02B34">
              <w:rPr>
                <w:rFonts w:ascii="Arial" w:eastAsia="Times New Roman" w:hAnsi="Arial" w:cs="Arial"/>
                <w:color w:val="548DD4" w:themeColor="text2" w:themeTint="99"/>
                <w:sz w:val="24"/>
                <w:szCs w:val="24"/>
              </w:rPr>
              <w:t xml:space="preserve">Es por ello, que es necesario desarrollar pautas para definir qué y cómo se configuran los diversos derechos económicos y/o comerciales, a fin de evitar interpretaciones amplias o análogas, prohibidas expresamente ante el ejercicio de este derecho fundamental (artículo 18º TUO de la Ley Nº 27806). </w:t>
            </w:r>
          </w:p>
          <w:p w:rsidR="00C02B34" w:rsidRPr="00B12853" w:rsidRDefault="00C02B34" w:rsidP="00123C9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color w:val="548DD4" w:themeColor="text2" w:themeTint="99"/>
                <w:sz w:val="24"/>
                <w:szCs w:val="24"/>
              </w:rPr>
            </w:pPr>
          </w:p>
          <w:p w:rsidR="00CB1064" w:rsidRPr="00CB1064" w:rsidRDefault="00CB1064" w:rsidP="00CB106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48DD4" w:themeColor="text2" w:themeTint="99"/>
                <w:sz w:val="24"/>
                <w:szCs w:val="24"/>
                <w:lang w:eastAsia="es-ES"/>
              </w:rPr>
            </w:pPr>
            <w:r w:rsidRPr="00CB1064">
              <w:rPr>
                <w:rFonts w:ascii="Arial" w:eastAsia="Times New Roman" w:hAnsi="Arial" w:cs="Arial"/>
                <w:color w:val="548DD4" w:themeColor="text2" w:themeTint="99"/>
                <w:sz w:val="24"/>
                <w:szCs w:val="24"/>
                <w:lang w:eastAsia="es-ES"/>
              </w:rPr>
              <w:t>Asimismo, no basta con alegarse que la información pueda afectar la seguridad y/o poner en riesgo la vida e integridad de las personas involucradas, sino que ello debe ser meridianamente acreditado. (Exp. Nº 5173-2011-PHD/TC)</w:t>
            </w:r>
          </w:p>
          <w:p w:rsidR="00CB1064" w:rsidRPr="00CB1064" w:rsidRDefault="00CB1064" w:rsidP="00CB1064">
            <w:pPr>
              <w:ind w:left="708"/>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48DD4" w:themeColor="text2" w:themeTint="99"/>
                <w:sz w:val="24"/>
                <w:szCs w:val="24"/>
                <w:lang w:eastAsia="es-ES"/>
              </w:rPr>
            </w:pPr>
            <w:r w:rsidRPr="00CB1064">
              <w:rPr>
                <w:rFonts w:ascii="Arial" w:eastAsia="Times New Roman" w:hAnsi="Arial" w:cs="Arial"/>
                <w:color w:val="548DD4" w:themeColor="text2" w:themeTint="99"/>
                <w:sz w:val="24"/>
                <w:szCs w:val="24"/>
                <w:lang w:eastAsia="es-ES"/>
              </w:rPr>
              <w:t xml:space="preserve"> </w:t>
            </w:r>
          </w:p>
          <w:p w:rsidR="00CB1064" w:rsidRPr="00B12853" w:rsidRDefault="00CB1064" w:rsidP="00CB106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548DD4" w:themeColor="text2" w:themeTint="99"/>
                <w:sz w:val="24"/>
                <w:szCs w:val="24"/>
                <w:lang w:eastAsia="es-ES"/>
              </w:rPr>
            </w:pPr>
            <w:r w:rsidRPr="00CB1064">
              <w:rPr>
                <w:rFonts w:ascii="Arial" w:eastAsia="Times New Roman" w:hAnsi="Arial" w:cs="Arial"/>
                <w:color w:val="548DD4" w:themeColor="text2" w:themeTint="99"/>
                <w:sz w:val="24"/>
                <w:szCs w:val="24"/>
                <w:lang w:eastAsia="es-ES"/>
              </w:rPr>
              <w:t xml:space="preserve">3º La entidad debe </w:t>
            </w:r>
            <w:r w:rsidRPr="00CB1064">
              <w:rPr>
                <w:rFonts w:ascii="Arial" w:eastAsia="Times New Roman" w:hAnsi="Arial" w:cs="Arial"/>
                <w:b/>
                <w:color w:val="548DD4" w:themeColor="text2" w:themeTint="99"/>
                <w:sz w:val="24"/>
                <w:szCs w:val="24"/>
                <w:lang w:eastAsia="es-ES"/>
              </w:rPr>
              <w:t>probar que el daño</w:t>
            </w:r>
            <w:r w:rsidRPr="00CB1064">
              <w:rPr>
                <w:rFonts w:ascii="Arial" w:eastAsia="Times New Roman" w:hAnsi="Arial" w:cs="Arial"/>
                <w:color w:val="548DD4" w:themeColor="text2" w:themeTint="99"/>
                <w:sz w:val="24"/>
                <w:szCs w:val="24"/>
                <w:lang w:eastAsia="es-ES"/>
              </w:rPr>
              <w:t xml:space="preserve"> por divulgar la información es mayor al daño ocasionado por negarle al público conocer la información. (Exp. Nº 04729-2011-PHD/TC, F.J. 15)</w:t>
            </w:r>
            <w:r w:rsidR="00B12853" w:rsidRPr="00B12853">
              <w:rPr>
                <w:rFonts w:ascii="Arial" w:eastAsia="Times New Roman" w:hAnsi="Arial" w:cs="Arial"/>
                <w:color w:val="548DD4" w:themeColor="text2" w:themeTint="99"/>
                <w:sz w:val="24"/>
                <w:szCs w:val="24"/>
                <w:lang w:eastAsia="es-ES"/>
              </w:rPr>
              <w:t>”</w:t>
            </w:r>
          </w:p>
          <w:p w:rsidR="00B12853" w:rsidRDefault="00B12853" w:rsidP="00CB106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p>
          <w:p w:rsidR="00B12853" w:rsidRPr="00CB1064" w:rsidRDefault="00B12853" w:rsidP="00CB106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es-ES"/>
              </w:rPr>
            </w:pPr>
          </w:p>
          <w:p w:rsidR="00C02B34" w:rsidRPr="002963F9" w:rsidRDefault="00C02B34" w:rsidP="00123C94">
            <w:pPr>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lang w:val="es-MX"/>
              </w:rPr>
            </w:pPr>
          </w:p>
        </w:tc>
      </w:tr>
      <w:tr w:rsidR="002963F9" w:rsidRPr="008F4832" w:rsidTr="00123C94">
        <w:trPr>
          <w:cnfStyle w:val="000000100000" w:firstRow="0" w:lastRow="0" w:firstColumn="0" w:lastColumn="0" w:oddVBand="0" w:evenVBand="0" w:oddHBand="1" w:evenHBand="0" w:firstRowFirstColumn="0" w:firstRowLastColumn="0" w:lastRowFirstColumn="0" w:lastRowLastColumn="0"/>
          <w:trHeight w:val="661"/>
        </w:trPr>
        <w:tc>
          <w:tcPr>
            <w:cnfStyle w:val="001000000000" w:firstRow="0" w:lastRow="0" w:firstColumn="1" w:lastColumn="0" w:oddVBand="0" w:evenVBand="0" w:oddHBand="0" w:evenHBand="0" w:firstRowFirstColumn="0" w:firstRowLastColumn="0" w:lastRowFirstColumn="0" w:lastRowLastColumn="0"/>
            <w:tcW w:w="1166" w:type="pct"/>
            <w:tcBorders>
              <w:top w:val="none" w:sz="0" w:space="0" w:color="auto"/>
              <w:left w:val="none" w:sz="0" w:space="0" w:color="auto"/>
              <w:bottom w:val="none" w:sz="0" w:space="0" w:color="auto"/>
            </w:tcBorders>
            <w:vAlign w:val="center"/>
          </w:tcPr>
          <w:p w:rsidR="002963F9" w:rsidRPr="009E2A68" w:rsidRDefault="002963F9" w:rsidP="008F4832">
            <w:pPr>
              <w:jc w:val="center"/>
              <w:rPr>
                <w:rFonts w:ascii="Arial" w:eastAsia="Calibri" w:hAnsi="Arial" w:cs="Arial"/>
                <w:smallCaps/>
                <w:sz w:val="24"/>
                <w:szCs w:val="24"/>
                <w:lang w:val="es-MX"/>
              </w:rPr>
            </w:pPr>
            <w:r w:rsidRPr="009E2A68">
              <w:rPr>
                <w:rFonts w:ascii="Arial" w:eastAsia="Calibri" w:hAnsi="Arial" w:cs="Arial"/>
                <w:smallCaps/>
                <w:sz w:val="24"/>
                <w:szCs w:val="24"/>
                <w:lang w:val="es-MX"/>
              </w:rPr>
              <w:t>Conclusiones por País</w:t>
            </w:r>
          </w:p>
        </w:tc>
        <w:tc>
          <w:tcPr>
            <w:tcW w:w="3834" w:type="pct"/>
            <w:tcBorders>
              <w:top w:val="none" w:sz="0" w:space="0" w:color="auto"/>
              <w:bottom w:val="none" w:sz="0" w:space="0" w:color="auto"/>
              <w:right w:val="none" w:sz="0" w:space="0" w:color="auto"/>
            </w:tcBorders>
            <w:vAlign w:val="center"/>
          </w:tcPr>
          <w:p w:rsidR="002963F9" w:rsidRPr="008F4832" w:rsidRDefault="002963F9" w:rsidP="008F4832">
            <w:pPr>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iCs/>
                <w:sz w:val="24"/>
                <w:szCs w:val="24"/>
              </w:rPr>
            </w:pPr>
          </w:p>
        </w:tc>
      </w:tr>
      <w:tr w:rsidR="00882082" w:rsidRPr="007E50FF" w:rsidTr="00123C94">
        <w:trPr>
          <w:trHeight w:val="1312"/>
        </w:trPr>
        <w:tc>
          <w:tcPr>
            <w:cnfStyle w:val="001000000000" w:firstRow="0" w:lastRow="0" w:firstColumn="1" w:lastColumn="0" w:oddVBand="0" w:evenVBand="0" w:oddHBand="0" w:evenHBand="0" w:firstRowFirstColumn="0" w:firstRowLastColumn="0" w:lastRowFirstColumn="0" w:lastRowLastColumn="0"/>
            <w:tcW w:w="1166" w:type="pct"/>
            <w:vAlign w:val="center"/>
          </w:tcPr>
          <w:p w:rsidR="00F617EE" w:rsidRPr="009E2A68" w:rsidRDefault="00F617EE" w:rsidP="008F4832">
            <w:pPr>
              <w:jc w:val="center"/>
              <w:rPr>
                <w:rFonts w:ascii="Arial" w:eastAsia="Calibri" w:hAnsi="Arial" w:cs="Arial"/>
                <w:b w:val="0"/>
                <w:smallCaps/>
                <w:sz w:val="24"/>
                <w:szCs w:val="24"/>
                <w:lang w:val="es-MX"/>
              </w:rPr>
            </w:pPr>
            <w:r w:rsidRPr="009E2A68">
              <w:rPr>
                <w:rFonts w:ascii="Arial" w:eastAsia="Calibri" w:hAnsi="Arial" w:cs="Arial"/>
                <w:smallCaps/>
                <w:sz w:val="24"/>
                <w:szCs w:val="24"/>
                <w:lang w:val="es-MX"/>
              </w:rPr>
              <w:lastRenderedPageBreak/>
              <w:t>Criterio Propuesto</w:t>
            </w:r>
          </w:p>
          <w:p w:rsidR="00882082" w:rsidRPr="009E2A68" w:rsidRDefault="00F617EE" w:rsidP="008F4832">
            <w:pPr>
              <w:jc w:val="center"/>
              <w:rPr>
                <w:rFonts w:ascii="Arial" w:eastAsia="Calibri" w:hAnsi="Arial" w:cs="Arial"/>
                <w:smallCaps/>
                <w:sz w:val="24"/>
                <w:szCs w:val="24"/>
                <w:lang w:val="es-MX"/>
              </w:rPr>
            </w:pPr>
            <w:r w:rsidRPr="009E2A68">
              <w:rPr>
                <w:rFonts w:ascii="Arial" w:eastAsia="Calibri" w:hAnsi="Arial" w:cs="Arial"/>
                <w:smallCaps/>
                <w:sz w:val="24"/>
                <w:szCs w:val="24"/>
                <w:lang w:val="es-MX"/>
              </w:rPr>
              <w:t xml:space="preserve">(Conclusión </w:t>
            </w:r>
            <w:r w:rsidR="002963F9">
              <w:rPr>
                <w:rFonts w:ascii="Arial" w:eastAsia="Calibri" w:hAnsi="Arial" w:cs="Arial"/>
                <w:smallCaps/>
                <w:sz w:val="24"/>
                <w:szCs w:val="24"/>
                <w:lang w:val="es-MX"/>
              </w:rPr>
              <w:t xml:space="preserve">General </w:t>
            </w:r>
            <w:r w:rsidRPr="009E2A68">
              <w:rPr>
                <w:rFonts w:ascii="Arial" w:eastAsia="Calibri" w:hAnsi="Arial" w:cs="Arial"/>
                <w:smallCaps/>
                <w:sz w:val="24"/>
                <w:szCs w:val="24"/>
                <w:lang w:val="es-MX"/>
              </w:rPr>
              <w:t>para el Grupo)</w:t>
            </w:r>
          </w:p>
        </w:tc>
        <w:tc>
          <w:tcPr>
            <w:tcW w:w="3834" w:type="pct"/>
            <w:vAlign w:val="center"/>
          </w:tcPr>
          <w:p w:rsidR="00882082" w:rsidRPr="007A0D9F" w:rsidRDefault="007A0D9F" w:rsidP="008F483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Buscar consentimiento del tercero por medio de consulta para divulgación de información sensible</w:t>
            </w:r>
            <w:r w:rsidR="001D41CC">
              <w:rPr>
                <w:rFonts w:ascii="Arial" w:eastAsia="Times New Roman" w:hAnsi="Arial" w:cs="Arial"/>
                <w:iCs/>
                <w:sz w:val="24"/>
                <w:szCs w:val="24"/>
              </w:rPr>
              <w:t>, cuando posible</w:t>
            </w:r>
            <w:r>
              <w:rPr>
                <w:rFonts w:ascii="Arial" w:eastAsia="Times New Roman" w:hAnsi="Arial" w:cs="Arial"/>
                <w:iCs/>
                <w:sz w:val="24"/>
                <w:szCs w:val="24"/>
              </w:rPr>
              <w:t>.</w:t>
            </w:r>
          </w:p>
          <w:p w:rsidR="00FC1E5D" w:rsidRDefault="00FC1E5D" w:rsidP="008F483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rsidR="007A0D9F" w:rsidRDefault="007E50FF" w:rsidP="008F483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Caracterizar</w:t>
            </w:r>
            <w:r w:rsidR="007A0D9F">
              <w:rPr>
                <w:rFonts w:ascii="Arial" w:eastAsia="Times New Roman" w:hAnsi="Arial" w:cs="Arial"/>
                <w:iCs/>
                <w:sz w:val="24"/>
                <w:szCs w:val="24"/>
              </w:rPr>
              <w:t xml:space="preserve"> el riesgo a la empresa</w:t>
            </w:r>
            <w:r w:rsidR="001D41CC">
              <w:rPr>
                <w:rFonts w:ascii="Arial" w:eastAsia="Times New Roman" w:hAnsi="Arial" w:cs="Arial"/>
                <w:iCs/>
                <w:sz w:val="24"/>
                <w:szCs w:val="24"/>
              </w:rPr>
              <w:t>/persona</w:t>
            </w:r>
            <w:r w:rsidR="007A0D9F">
              <w:rPr>
                <w:rFonts w:ascii="Arial" w:eastAsia="Times New Roman" w:hAnsi="Arial" w:cs="Arial"/>
                <w:iCs/>
                <w:sz w:val="24"/>
                <w:szCs w:val="24"/>
              </w:rPr>
              <w:t xml:space="preserve"> a que se refiere la información con la divulgación de dichas informaciones.</w:t>
            </w:r>
          </w:p>
          <w:p w:rsidR="001F0852" w:rsidRDefault="001F0852" w:rsidP="008F483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rsidR="001F0852" w:rsidRDefault="001F0852" w:rsidP="008F483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r>
              <w:rPr>
                <w:rFonts w:ascii="Arial" w:eastAsia="Times New Roman" w:hAnsi="Arial" w:cs="Arial"/>
                <w:iCs/>
                <w:sz w:val="24"/>
                <w:szCs w:val="24"/>
              </w:rPr>
              <w:t>Avanzar en definiciones más precisas de informaciones protegidas por secretos económicos, comerciales, etc.</w:t>
            </w:r>
          </w:p>
          <w:p w:rsidR="001F0852" w:rsidRDefault="001F0852" w:rsidP="008F483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rsidR="001F0852" w:rsidRPr="007A0D9F" w:rsidRDefault="001F0852" w:rsidP="008F483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p w:rsidR="00FC1E5D" w:rsidRPr="007E50FF" w:rsidRDefault="00FC1E5D" w:rsidP="007A0D9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iCs/>
                <w:sz w:val="24"/>
                <w:szCs w:val="24"/>
              </w:rPr>
            </w:pPr>
          </w:p>
        </w:tc>
      </w:tr>
    </w:tbl>
    <w:p w:rsidR="00E131FB" w:rsidRPr="007E50FF" w:rsidRDefault="00E131FB" w:rsidP="008F4832">
      <w:pPr>
        <w:spacing w:after="0"/>
        <w:jc w:val="both"/>
        <w:rPr>
          <w:rFonts w:ascii="Arial" w:hAnsi="Arial" w:cs="Arial"/>
          <w:sz w:val="24"/>
          <w:szCs w:val="24"/>
        </w:rPr>
      </w:pPr>
    </w:p>
    <w:sectPr w:rsidR="00E131FB" w:rsidRPr="007E50FF" w:rsidSect="00EF1EF3">
      <w:headerReference w:type="default" r:id="rId7"/>
      <w:footerReference w:type="default" r:id="rId8"/>
      <w:pgSz w:w="15840" w:h="12240" w:orient="landscape"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BDD" w:rsidRDefault="00BB3BDD" w:rsidP="009E2A68">
      <w:pPr>
        <w:spacing w:after="0" w:line="240" w:lineRule="auto"/>
      </w:pPr>
      <w:r>
        <w:separator/>
      </w:r>
    </w:p>
  </w:endnote>
  <w:endnote w:type="continuationSeparator" w:id="0">
    <w:p w:rsidR="00BB3BDD" w:rsidRDefault="00BB3BDD" w:rsidP="009E2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rPr>
      <w:id w:val="-347255593"/>
      <w:docPartObj>
        <w:docPartGallery w:val="Page Numbers (Bottom of Page)"/>
        <w:docPartUnique/>
      </w:docPartObj>
    </w:sdtPr>
    <w:sdtEndPr/>
    <w:sdtContent>
      <w:sdt>
        <w:sdtPr>
          <w:rPr>
            <w:rFonts w:ascii="Arial" w:hAnsi="Arial" w:cs="Arial"/>
            <w:sz w:val="18"/>
          </w:rPr>
          <w:id w:val="-1769616900"/>
          <w:docPartObj>
            <w:docPartGallery w:val="Page Numbers (Top of Page)"/>
            <w:docPartUnique/>
          </w:docPartObj>
        </w:sdtPr>
        <w:sdtEndPr/>
        <w:sdtContent>
          <w:p w:rsidR="00FF5C3C" w:rsidRPr="00FF5C3C" w:rsidRDefault="00FF5C3C">
            <w:pPr>
              <w:pStyle w:val="Piedepgina"/>
              <w:jc w:val="right"/>
              <w:rPr>
                <w:rFonts w:ascii="Arial" w:hAnsi="Arial" w:cs="Arial"/>
                <w:sz w:val="18"/>
              </w:rPr>
            </w:pPr>
            <w:r w:rsidRPr="00FF5C3C">
              <w:rPr>
                <w:rFonts w:ascii="Arial" w:hAnsi="Arial" w:cs="Arial"/>
                <w:sz w:val="18"/>
              </w:rPr>
              <w:t xml:space="preserve">Página </w:t>
            </w:r>
            <w:r w:rsidRPr="00FF5C3C">
              <w:rPr>
                <w:rFonts w:ascii="Arial" w:hAnsi="Arial" w:cs="Arial"/>
                <w:b/>
                <w:bCs/>
                <w:sz w:val="20"/>
                <w:szCs w:val="24"/>
              </w:rPr>
              <w:fldChar w:fldCharType="begin"/>
            </w:r>
            <w:r w:rsidRPr="00FF5C3C">
              <w:rPr>
                <w:rFonts w:ascii="Arial" w:hAnsi="Arial" w:cs="Arial"/>
                <w:b/>
                <w:bCs/>
                <w:sz w:val="18"/>
              </w:rPr>
              <w:instrText>PAGE</w:instrText>
            </w:r>
            <w:r w:rsidRPr="00FF5C3C">
              <w:rPr>
                <w:rFonts w:ascii="Arial" w:hAnsi="Arial" w:cs="Arial"/>
                <w:b/>
                <w:bCs/>
                <w:sz w:val="20"/>
                <w:szCs w:val="24"/>
              </w:rPr>
              <w:fldChar w:fldCharType="separate"/>
            </w:r>
            <w:r w:rsidR="00DF6E45">
              <w:rPr>
                <w:rFonts w:ascii="Arial" w:hAnsi="Arial" w:cs="Arial"/>
                <w:b/>
                <w:bCs/>
                <w:noProof/>
                <w:sz w:val="18"/>
              </w:rPr>
              <w:t>1</w:t>
            </w:r>
            <w:r w:rsidRPr="00FF5C3C">
              <w:rPr>
                <w:rFonts w:ascii="Arial" w:hAnsi="Arial" w:cs="Arial"/>
                <w:b/>
                <w:bCs/>
                <w:sz w:val="20"/>
                <w:szCs w:val="24"/>
              </w:rPr>
              <w:fldChar w:fldCharType="end"/>
            </w:r>
            <w:r w:rsidRPr="00FF5C3C">
              <w:rPr>
                <w:rFonts w:ascii="Arial" w:hAnsi="Arial" w:cs="Arial"/>
                <w:sz w:val="18"/>
              </w:rPr>
              <w:t xml:space="preserve"> de </w:t>
            </w:r>
            <w:r w:rsidRPr="00FF5C3C">
              <w:rPr>
                <w:rFonts w:ascii="Arial" w:hAnsi="Arial" w:cs="Arial"/>
                <w:b/>
                <w:bCs/>
                <w:sz w:val="20"/>
                <w:szCs w:val="24"/>
              </w:rPr>
              <w:fldChar w:fldCharType="begin"/>
            </w:r>
            <w:r w:rsidRPr="00FF5C3C">
              <w:rPr>
                <w:rFonts w:ascii="Arial" w:hAnsi="Arial" w:cs="Arial"/>
                <w:b/>
                <w:bCs/>
                <w:sz w:val="18"/>
              </w:rPr>
              <w:instrText>NUMPAGES</w:instrText>
            </w:r>
            <w:r w:rsidRPr="00FF5C3C">
              <w:rPr>
                <w:rFonts w:ascii="Arial" w:hAnsi="Arial" w:cs="Arial"/>
                <w:b/>
                <w:bCs/>
                <w:sz w:val="20"/>
                <w:szCs w:val="24"/>
              </w:rPr>
              <w:fldChar w:fldCharType="separate"/>
            </w:r>
            <w:r w:rsidR="00DF6E45">
              <w:rPr>
                <w:rFonts w:ascii="Arial" w:hAnsi="Arial" w:cs="Arial"/>
                <w:b/>
                <w:bCs/>
                <w:noProof/>
                <w:sz w:val="18"/>
              </w:rPr>
              <w:t>6</w:t>
            </w:r>
            <w:r w:rsidRPr="00FF5C3C">
              <w:rPr>
                <w:rFonts w:ascii="Arial" w:hAnsi="Arial" w:cs="Arial"/>
                <w:b/>
                <w:bCs/>
                <w:sz w:val="20"/>
                <w:szCs w:val="24"/>
              </w:rPr>
              <w:fldChar w:fldCharType="end"/>
            </w:r>
          </w:p>
        </w:sdtContent>
      </w:sdt>
    </w:sdtContent>
  </w:sdt>
  <w:p w:rsidR="00FF5C3C" w:rsidRPr="00FF5C3C" w:rsidRDefault="00FF5C3C">
    <w:pPr>
      <w:pStyle w:val="Piedepgina"/>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BDD" w:rsidRDefault="00BB3BDD" w:rsidP="009E2A68">
      <w:pPr>
        <w:spacing w:after="0" w:line="240" w:lineRule="auto"/>
      </w:pPr>
      <w:r>
        <w:separator/>
      </w:r>
    </w:p>
  </w:footnote>
  <w:footnote w:type="continuationSeparator" w:id="0">
    <w:p w:rsidR="00BB3BDD" w:rsidRDefault="00BB3BDD" w:rsidP="009E2A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A68" w:rsidRPr="008F4DF4" w:rsidRDefault="009E2A68" w:rsidP="009E2A68">
    <w:pPr>
      <w:spacing w:after="0" w:line="240" w:lineRule="auto"/>
      <w:jc w:val="right"/>
      <w:rPr>
        <w:rFonts w:ascii="Arial" w:hAnsi="Arial" w:cs="Arial"/>
        <w:b/>
        <w:smallCaps/>
      </w:rPr>
    </w:pPr>
    <w:r w:rsidRPr="008F4DF4">
      <w:rPr>
        <w:smallCaps/>
        <w:noProof/>
        <w:lang w:val="es-MX" w:eastAsia="es-MX"/>
      </w:rPr>
      <w:drawing>
        <wp:anchor distT="0" distB="0" distL="114300" distR="114300" simplePos="0" relativeHeight="251659264" behindDoc="0" locked="0" layoutInCell="1" allowOverlap="1" wp14:anchorId="030EF221" wp14:editId="6F6B947B">
          <wp:simplePos x="0" y="0"/>
          <wp:positionH relativeFrom="margin">
            <wp:posOffset>371475</wp:posOffset>
          </wp:positionH>
          <wp:positionV relativeFrom="margin">
            <wp:posOffset>-1037590</wp:posOffset>
          </wp:positionV>
          <wp:extent cx="1104900" cy="830580"/>
          <wp:effectExtent l="0" t="0" r="0" b="7620"/>
          <wp:wrapSquare wrapText="bothSides"/>
          <wp:docPr id="12" name="3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32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830580"/>
                  </a:xfrm>
                  <a:prstGeom prst="rect">
                    <a:avLst/>
                  </a:prstGeom>
                </pic:spPr>
              </pic:pic>
            </a:graphicData>
          </a:graphic>
          <wp14:sizeRelH relativeFrom="margin">
            <wp14:pctWidth>0</wp14:pctWidth>
          </wp14:sizeRelH>
          <wp14:sizeRelV relativeFrom="margin">
            <wp14:pctHeight>0</wp14:pctHeight>
          </wp14:sizeRelV>
        </wp:anchor>
      </w:drawing>
    </w:r>
    <w:r w:rsidRPr="008F4DF4">
      <w:rPr>
        <w:rFonts w:ascii="Arial" w:hAnsi="Arial" w:cs="Arial"/>
        <w:b/>
        <w:smallCaps/>
      </w:rPr>
      <w:t>Grupo de Jurisprudencia y Criterios Administrativos</w:t>
    </w:r>
  </w:p>
  <w:p w:rsidR="009E2A68" w:rsidRPr="008F4DF4" w:rsidRDefault="00EF1EF3" w:rsidP="009E2A68">
    <w:pPr>
      <w:tabs>
        <w:tab w:val="left" w:pos="4950"/>
      </w:tabs>
      <w:spacing w:after="0" w:line="240" w:lineRule="auto"/>
      <w:jc w:val="right"/>
      <w:rPr>
        <w:rFonts w:ascii="Arial" w:hAnsi="Arial" w:cs="Arial"/>
        <w:smallCaps/>
        <w:sz w:val="24"/>
        <w:szCs w:val="24"/>
      </w:rPr>
    </w:pPr>
    <w:r>
      <w:rPr>
        <w:rFonts w:ascii="Arial" w:hAnsi="Arial" w:cs="Arial"/>
        <w:smallCaps/>
        <w:sz w:val="24"/>
        <w:szCs w:val="24"/>
      </w:rPr>
      <w:t>Debate sobre posicionamiento</w:t>
    </w:r>
  </w:p>
  <w:p w:rsidR="009E2A68" w:rsidRDefault="009E2A68" w:rsidP="009E2A68">
    <w:pPr>
      <w:tabs>
        <w:tab w:val="left" w:pos="4950"/>
      </w:tabs>
      <w:spacing w:after="0" w:line="240" w:lineRule="auto"/>
      <w:jc w:val="right"/>
      <w:rPr>
        <w:rFonts w:ascii="Arial" w:hAnsi="Arial" w:cs="Arial"/>
        <w:b/>
        <w:smallCaps/>
        <w:sz w:val="24"/>
        <w:szCs w:val="24"/>
      </w:rPr>
    </w:pPr>
  </w:p>
  <w:p w:rsidR="009E2A68" w:rsidRDefault="009E2A68" w:rsidP="009E2A68">
    <w:pPr>
      <w:tabs>
        <w:tab w:val="left" w:pos="4950"/>
      </w:tabs>
      <w:spacing w:after="0" w:line="240" w:lineRule="auto"/>
      <w:jc w:val="right"/>
      <w:rPr>
        <w:rFonts w:ascii="Arial" w:hAnsi="Arial" w:cs="Arial"/>
        <w:b/>
        <w:smallCaps/>
        <w:sz w:val="24"/>
        <w:szCs w:val="24"/>
      </w:rPr>
    </w:pPr>
    <w:r w:rsidRPr="008F4DF4">
      <w:rPr>
        <w:rFonts w:ascii="Arial" w:hAnsi="Arial" w:cs="Arial"/>
        <w:b/>
        <w:smallCaps/>
        <w:sz w:val="24"/>
        <w:szCs w:val="24"/>
      </w:rPr>
      <w:t>Cuarto Debate Temático</w:t>
    </w:r>
  </w:p>
  <w:p w:rsidR="00FF5C3C" w:rsidRDefault="00FF5C3C" w:rsidP="009E2A68">
    <w:pPr>
      <w:tabs>
        <w:tab w:val="left" w:pos="4950"/>
      </w:tabs>
      <w:spacing w:after="0" w:line="240" w:lineRule="auto"/>
      <w:jc w:val="right"/>
      <w:rPr>
        <w:rFonts w:ascii="Arial" w:hAnsi="Arial" w:cs="Arial"/>
        <w:b/>
        <w:smallCap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534DD"/>
    <w:multiLevelType w:val="hybridMultilevel"/>
    <w:tmpl w:val="5914DD60"/>
    <w:lvl w:ilvl="0" w:tplc="9EC4591E">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 w15:restartNumberingAfterBreak="0">
    <w:nsid w:val="2AB063EE"/>
    <w:multiLevelType w:val="hybridMultilevel"/>
    <w:tmpl w:val="D9D684CA"/>
    <w:lvl w:ilvl="0" w:tplc="C5943C7A">
      <w:start w:val="1"/>
      <w:numFmt w:val="decimal"/>
      <w:lvlText w:val="%1."/>
      <w:lvlJc w:val="left"/>
      <w:pPr>
        <w:ind w:left="720" w:hanging="360"/>
      </w:pPr>
      <w:rPr>
        <w:rFonts w:ascii="Verdana" w:eastAsia="Times New Roman" w:hAnsi="Verdana" w:cs="Times New Roman" w:hint="default"/>
        <w:b w:val="0"/>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C26568F"/>
    <w:multiLevelType w:val="hybridMultilevel"/>
    <w:tmpl w:val="DDE2C88A"/>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095775C"/>
    <w:multiLevelType w:val="hybridMultilevel"/>
    <w:tmpl w:val="9260FF0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AE51144"/>
    <w:multiLevelType w:val="hybridMultilevel"/>
    <w:tmpl w:val="7E064B0A"/>
    <w:lvl w:ilvl="0" w:tplc="1A9C137C">
      <w:start w:val="1"/>
      <w:numFmt w:val="bullet"/>
      <w:lvlText w:val=""/>
      <w:lvlJc w:val="left"/>
      <w:pPr>
        <w:ind w:left="720" w:hanging="360"/>
      </w:pPr>
      <w:rPr>
        <w:rFonts w:ascii="Wingdings" w:hAnsi="Wingdings"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98C181E"/>
    <w:multiLevelType w:val="hybridMultilevel"/>
    <w:tmpl w:val="C188F7D0"/>
    <w:lvl w:ilvl="0" w:tplc="28861FB6">
      <w:start w:val="1"/>
      <w:numFmt w:val="bullet"/>
      <w:lvlText w:val=""/>
      <w:lvlJc w:val="left"/>
      <w:pPr>
        <w:ind w:left="720" w:hanging="360"/>
      </w:pPr>
      <w:rPr>
        <w:rFonts w:ascii="Wingdings" w:hAnsi="Wingdings"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7B01E6B"/>
    <w:multiLevelType w:val="hybridMultilevel"/>
    <w:tmpl w:val="ED986C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1FB"/>
    <w:rsid w:val="00011955"/>
    <w:rsid w:val="000478B8"/>
    <w:rsid w:val="00097BDE"/>
    <w:rsid w:val="00123C94"/>
    <w:rsid w:val="00146114"/>
    <w:rsid w:val="00150183"/>
    <w:rsid w:val="001D41CC"/>
    <w:rsid w:val="001F0852"/>
    <w:rsid w:val="001F1D77"/>
    <w:rsid w:val="001F1D8B"/>
    <w:rsid w:val="00231614"/>
    <w:rsid w:val="00275D5F"/>
    <w:rsid w:val="00287734"/>
    <w:rsid w:val="002963F9"/>
    <w:rsid w:val="002F66A9"/>
    <w:rsid w:val="00324388"/>
    <w:rsid w:val="0033112F"/>
    <w:rsid w:val="0033282F"/>
    <w:rsid w:val="00364FF3"/>
    <w:rsid w:val="0039462F"/>
    <w:rsid w:val="003A596B"/>
    <w:rsid w:val="003D1D49"/>
    <w:rsid w:val="00420E96"/>
    <w:rsid w:val="00436105"/>
    <w:rsid w:val="00437516"/>
    <w:rsid w:val="004633C9"/>
    <w:rsid w:val="00486A8A"/>
    <w:rsid w:val="004B612B"/>
    <w:rsid w:val="004C4805"/>
    <w:rsid w:val="004F24F2"/>
    <w:rsid w:val="0050076C"/>
    <w:rsid w:val="00521672"/>
    <w:rsid w:val="00522F6E"/>
    <w:rsid w:val="0055506D"/>
    <w:rsid w:val="005941F2"/>
    <w:rsid w:val="005E04AA"/>
    <w:rsid w:val="005F77BD"/>
    <w:rsid w:val="0061563C"/>
    <w:rsid w:val="00622B72"/>
    <w:rsid w:val="006537AD"/>
    <w:rsid w:val="006720BA"/>
    <w:rsid w:val="006935C8"/>
    <w:rsid w:val="00731F42"/>
    <w:rsid w:val="00787100"/>
    <w:rsid w:val="007A0D9F"/>
    <w:rsid w:val="007B0F72"/>
    <w:rsid w:val="007E19B7"/>
    <w:rsid w:val="007E50FF"/>
    <w:rsid w:val="008641D6"/>
    <w:rsid w:val="00882082"/>
    <w:rsid w:val="008E056E"/>
    <w:rsid w:val="008F4832"/>
    <w:rsid w:val="0095076A"/>
    <w:rsid w:val="00970F79"/>
    <w:rsid w:val="009760E6"/>
    <w:rsid w:val="009B33CA"/>
    <w:rsid w:val="009E2A68"/>
    <w:rsid w:val="00A27E14"/>
    <w:rsid w:val="00A801E3"/>
    <w:rsid w:val="00AC7955"/>
    <w:rsid w:val="00B12853"/>
    <w:rsid w:val="00B163C4"/>
    <w:rsid w:val="00B27D0B"/>
    <w:rsid w:val="00B44B24"/>
    <w:rsid w:val="00B927E9"/>
    <w:rsid w:val="00BB3BDD"/>
    <w:rsid w:val="00BE5442"/>
    <w:rsid w:val="00C02B34"/>
    <w:rsid w:val="00CB058C"/>
    <w:rsid w:val="00CB1064"/>
    <w:rsid w:val="00CB3B99"/>
    <w:rsid w:val="00CE384B"/>
    <w:rsid w:val="00D6290F"/>
    <w:rsid w:val="00DA12EC"/>
    <w:rsid w:val="00DD7603"/>
    <w:rsid w:val="00DF6E45"/>
    <w:rsid w:val="00DF7177"/>
    <w:rsid w:val="00E10CD4"/>
    <w:rsid w:val="00E131FB"/>
    <w:rsid w:val="00E23674"/>
    <w:rsid w:val="00E45FB5"/>
    <w:rsid w:val="00EB564D"/>
    <w:rsid w:val="00EB62AF"/>
    <w:rsid w:val="00EF1EF3"/>
    <w:rsid w:val="00EF4D59"/>
    <w:rsid w:val="00F11AF9"/>
    <w:rsid w:val="00F246BB"/>
    <w:rsid w:val="00F368BA"/>
    <w:rsid w:val="00F617EE"/>
    <w:rsid w:val="00F64D83"/>
    <w:rsid w:val="00FC1E5D"/>
    <w:rsid w:val="00FC3A0E"/>
    <w:rsid w:val="00FC6E97"/>
    <w:rsid w:val="00FD1349"/>
    <w:rsid w:val="00FF5C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CF4A4A-8170-4164-B3F7-B63B2B0B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131FB"/>
    <w:pPr>
      <w:ind w:left="720"/>
      <w:contextualSpacing/>
    </w:pPr>
  </w:style>
  <w:style w:type="character" w:styleId="Ttulodellibro">
    <w:name w:val="Book Title"/>
    <w:basedOn w:val="Fuentedeprrafopredeter"/>
    <w:uiPriority w:val="33"/>
    <w:qFormat/>
    <w:rsid w:val="00AC7955"/>
    <w:rPr>
      <w:b/>
      <w:bCs/>
      <w:smallCaps/>
      <w:spacing w:val="5"/>
    </w:rPr>
  </w:style>
  <w:style w:type="table" w:styleId="Listaclara-nfasis2">
    <w:name w:val="Light List Accent 2"/>
    <w:basedOn w:val="Tablanormal"/>
    <w:uiPriority w:val="61"/>
    <w:rsid w:val="008F483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cabezado">
    <w:name w:val="header"/>
    <w:basedOn w:val="Normal"/>
    <w:link w:val="EncabezadoCar"/>
    <w:uiPriority w:val="99"/>
    <w:unhideWhenUsed/>
    <w:rsid w:val="009E2A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2A68"/>
  </w:style>
  <w:style w:type="paragraph" w:styleId="Piedepgina">
    <w:name w:val="footer"/>
    <w:basedOn w:val="Normal"/>
    <w:link w:val="PiedepginaCar"/>
    <w:uiPriority w:val="99"/>
    <w:unhideWhenUsed/>
    <w:rsid w:val="009E2A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2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130363">
      <w:bodyDiv w:val="1"/>
      <w:marLeft w:val="0"/>
      <w:marRight w:val="0"/>
      <w:marTop w:val="0"/>
      <w:marBottom w:val="0"/>
      <w:divBdr>
        <w:top w:val="none" w:sz="0" w:space="0" w:color="auto"/>
        <w:left w:val="none" w:sz="0" w:space="0" w:color="auto"/>
        <w:bottom w:val="none" w:sz="0" w:space="0" w:color="auto"/>
        <w:right w:val="none" w:sz="0" w:space="0" w:color="auto"/>
      </w:divBdr>
      <w:divsChild>
        <w:div w:id="79699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9CAC475AFB66A43B2316B05CBFB6904" ma:contentTypeVersion="3" ma:contentTypeDescription="Crear nuevo documento." ma:contentTypeScope="" ma:versionID="fbb4a129c93cd6e6f13386079142a039">
  <xsd:schema xmlns:xsd="http://www.w3.org/2001/XMLSchema" xmlns:xs="http://www.w3.org/2001/XMLSchema" xmlns:p="http://schemas.microsoft.com/office/2006/metadata/properties" xmlns:ns2="f4d36732-e6c1-4d35-a74a-a5258d763a75" targetNamespace="http://schemas.microsoft.com/office/2006/metadata/properties" ma:root="true" ma:fieldsID="2bfcf546868ddb10d17b3bf88d5500c9" ns2:_="">
    <xsd:import namespace="f4d36732-e6c1-4d35-a74a-a5258d763a75"/>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Palabras clave de empresa"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Props1.xml><?xml version="1.0" encoding="utf-8"?>
<ds:datastoreItem xmlns:ds="http://schemas.openxmlformats.org/officeDocument/2006/customXml" ds:itemID="{9A8BE2A9-6676-40BA-9E9F-04B4F455B779}"/>
</file>

<file path=customXml/itemProps2.xml><?xml version="1.0" encoding="utf-8"?>
<ds:datastoreItem xmlns:ds="http://schemas.openxmlformats.org/officeDocument/2006/customXml" ds:itemID="{328531A9-D72A-4928-9A8E-06CC43515074}"/>
</file>

<file path=customXml/itemProps3.xml><?xml version="1.0" encoding="utf-8"?>
<ds:datastoreItem xmlns:ds="http://schemas.openxmlformats.org/officeDocument/2006/customXml" ds:itemID="{561B5350-76E8-4821-9E15-949BE0BCDFF1}"/>
</file>

<file path=docProps/app.xml><?xml version="1.0" encoding="utf-8"?>
<Properties xmlns="http://schemas.openxmlformats.org/officeDocument/2006/extended-properties" xmlns:vt="http://schemas.openxmlformats.org/officeDocument/2006/docPropsVTypes">
  <Template>Normal</Template>
  <TotalTime>0</TotalTime>
  <Pages>6</Pages>
  <Words>1102</Words>
  <Characters>6065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ifai</Company>
  <LinksUpToDate>false</LinksUpToDate>
  <CharactersWithSpaces>7153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De la Paz-Pérez Farca</dc:creator>
  <cp:lastModifiedBy>Lilián Irazú Hernández Ojeda</cp:lastModifiedBy>
  <cp:revision>2</cp:revision>
  <cp:lastPrinted>2015-11-23T17:16:00Z</cp:lastPrinted>
  <dcterms:created xsi:type="dcterms:W3CDTF">2016-11-11T20:55:00Z</dcterms:created>
  <dcterms:modified xsi:type="dcterms:W3CDTF">2016-11-11T20:55:00Z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0x01010079CAC475AFB66A43B2316B05CBFB6904</vt:lpwstr>
  </property>
</Properties>
</file>