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E3" w:rsidRDefault="001D2FE3" w:rsidP="001D2FE3">
      <w:pPr>
        <w:jc w:val="both"/>
      </w:pPr>
      <w:bookmarkStart w:id="0" w:name="_GoBack"/>
      <w:bookmarkEnd w:id="0"/>
      <w:r>
        <w:rPr>
          <w:rFonts w:ascii="Arial" w:hAnsi="Arial" w:cs="Arial"/>
          <w:b/>
          <w:sz w:val="24"/>
          <w:szCs w:val="24"/>
        </w:rPr>
        <w:t xml:space="preserve">PRUEBA DE DAÑO. ELEMENTOS INDISPENSABLES PARA SU APLICACIÓN AL MOMENTO DE RESERVAR INFORMACIÓN. </w:t>
      </w:r>
      <w:r>
        <w:rPr>
          <w:rFonts w:ascii="Arial" w:hAnsi="Arial" w:cs="Arial"/>
          <w:iCs/>
          <w:sz w:val="24"/>
          <w:szCs w:val="24"/>
          <w:lang w:val="es-ES"/>
        </w:rPr>
        <w:t xml:space="preserve">El derecho humano de acceso a la información se rige por el principio de publicidad, según el cual, toda la información en posesión de las autoridades tiene la característica de ser pública y, sólo de manera excepcional, por disposición de una ley -en sentido formal y material- y por una razón de interés público superior, puede limitarse  temporalmente. Por lo anterior, al ser la reserva una excepción a este derecho, quienes nieguen el acceso a la información, deben realizar una </w:t>
      </w:r>
      <w:r>
        <w:rPr>
          <w:rFonts w:ascii="Arial" w:hAnsi="Arial" w:cs="Arial"/>
          <w:i/>
          <w:iCs/>
          <w:sz w:val="24"/>
          <w:szCs w:val="24"/>
          <w:lang w:val="es-ES"/>
        </w:rPr>
        <w:t>prueba de daño</w:t>
      </w:r>
      <w:r>
        <w:rPr>
          <w:rFonts w:ascii="Arial" w:hAnsi="Arial" w:cs="Arial"/>
          <w:iCs/>
          <w:sz w:val="24"/>
          <w:szCs w:val="24"/>
          <w:lang w:val="es-ES"/>
        </w:rPr>
        <w:t xml:space="preserve"> en la que: 1) Citen el artículo de la ley en que se apoye la reserva; 2) Demuestren que la publicidad de la información solicitada, puede amenazar efectivamente un bien jurídico o derecho tutelado claramente identificado, y 3) Acrediten que el daño, que podría producir el acceso a la información, es mayor que el interés público para acceder a ésta; debiendo quedar constancia de la misma en el acto administrativo, o declaratoria de reserva, para notificar el razonamiento de la autoridad al solicitante. Atendiendo a la carga probatoria que tienen las autoridades para reservar información, es recomendable la emisión de instrumentos normativos (ya sean leyes, reglamentos, lineamientos, guías, acuerdos, </w:t>
      </w:r>
      <w:r>
        <w:rPr>
          <w:rFonts w:ascii="Arial" w:hAnsi="Arial" w:cs="Arial"/>
          <w:i/>
          <w:iCs/>
          <w:sz w:val="24"/>
          <w:szCs w:val="24"/>
          <w:lang w:val="es-ES"/>
        </w:rPr>
        <w:t>etc.</w:t>
      </w:r>
      <w:r>
        <w:rPr>
          <w:rFonts w:ascii="Arial" w:hAnsi="Arial" w:cs="Arial"/>
          <w:iCs/>
          <w:sz w:val="24"/>
          <w:szCs w:val="24"/>
          <w:lang w:val="es-ES"/>
        </w:rPr>
        <w:t xml:space="preserve">), que faciliten y precisen la manera en que se realiza la </w:t>
      </w:r>
      <w:r>
        <w:rPr>
          <w:rFonts w:ascii="Arial" w:hAnsi="Arial" w:cs="Arial"/>
          <w:i/>
          <w:iCs/>
          <w:sz w:val="24"/>
          <w:szCs w:val="24"/>
          <w:lang w:val="es-ES"/>
        </w:rPr>
        <w:t>prueba de daño</w:t>
      </w:r>
      <w:r>
        <w:rPr>
          <w:rFonts w:ascii="Arial" w:hAnsi="Arial" w:cs="Arial"/>
          <w:iCs/>
          <w:sz w:val="24"/>
          <w:szCs w:val="24"/>
          <w:lang w:val="es-ES"/>
        </w:rPr>
        <w:t xml:space="preserve">, ya que por un lado, las autoridades contarían con el procedimiento detallado para aplicarla, y por el otro, los particulares tendrían certeza de los elementos que deben estar presentes en la reserva de lo solicitado. </w:t>
      </w:r>
    </w:p>
    <w:p w:rsidR="006506BC" w:rsidRPr="001D2FE3" w:rsidRDefault="006506BC" w:rsidP="00993F83">
      <w:pPr>
        <w:jc w:val="both"/>
        <w:rPr>
          <w:rFonts w:ascii="Arial" w:hAnsi="Arial" w:cs="Arial"/>
          <w:iCs/>
          <w:sz w:val="24"/>
          <w:szCs w:val="24"/>
        </w:rPr>
      </w:pPr>
    </w:p>
    <w:sectPr w:rsidR="006506BC" w:rsidRPr="001D2FE3" w:rsidSect="00993F8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AE" w:rsidRDefault="006E6BAE" w:rsidP="00DF68A2">
      <w:pPr>
        <w:spacing w:after="0" w:line="240" w:lineRule="auto"/>
      </w:pPr>
      <w:r>
        <w:separator/>
      </w:r>
    </w:p>
  </w:endnote>
  <w:endnote w:type="continuationSeparator" w:id="0">
    <w:p w:rsidR="006E6BAE" w:rsidRDefault="006E6BAE" w:rsidP="00DF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56680"/>
      <w:docPartObj>
        <w:docPartGallery w:val="Page Numbers (Bottom of Page)"/>
        <w:docPartUnique/>
      </w:docPartObj>
    </w:sdtPr>
    <w:sdtEndPr/>
    <w:sdtContent>
      <w:sdt>
        <w:sdtPr>
          <w:id w:val="-1669238322"/>
          <w:docPartObj>
            <w:docPartGallery w:val="Page Numbers (Top of Page)"/>
            <w:docPartUnique/>
          </w:docPartObj>
        </w:sdtPr>
        <w:sdtEndPr/>
        <w:sdtContent>
          <w:p w:rsidR="00D71CB9" w:rsidRDefault="00D71CB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D2FE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D2FE3">
              <w:rPr>
                <w:b/>
                <w:bCs/>
                <w:noProof/>
              </w:rPr>
              <w:t>1</w:t>
            </w:r>
            <w:r>
              <w:rPr>
                <w:b/>
                <w:bCs/>
                <w:sz w:val="24"/>
                <w:szCs w:val="24"/>
              </w:rPr>
              <w:fldChar w:fldCharType="end"/>
            </w:r>
          </w:p>
        </w:sdtContent>
      </w:sdt>
    </w:sdtContent>
  </w:sdt>
  <w:p w:rsidR="00D71CB9" w:rsidRDefault="00D71C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AE" w:rsidRDefault="006E6BAE" w:rsidP="00DF68A2">
      <w:pPr>
        <w:spacing w:after="0" w:line="240" w:lineRule="auto"/>
      </w:pPr>
      <w:r>
        <w:separator/>
      </w:r>
    </w:p>
  </w:footnote>
  <w:footnote w:type="continuationSeparator" w:id="0">
    <w:p w:rsidR="006E6BAE" w:rsidRDefault="006E6BAE" w:rsidP="00DF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31" w:type="pct"/>
      <w:tblBorders>
        <w:bottom w:val="single" w:sz="4" w:space="0" w:color="auto"/>
      </w:tblBorders>
      <w:tblLayout w:type="fixed"/>
      <w:tblLook w:val="00A0" w:firstRow="1" w:lastRow="0" w:firstColumn="1" w:lastColumn="0" w:noHBand="0" w:noVBand="0"/>
    </w:tblPr>
    <w:tblGrid>
      <w:gridCol w:w="3510"/>
      <w:gridCol w:w="5238"/>
    </w:tblGrid>
    <w:tr w:rsidR="00D71CB9" w:rsidRPr="00DF68A2" w:rsidTr="003A0008">
      <w:tc>
        <w:tcPr>
          <w:tcW w:w="2006" w:type="pct"/>
          <w:tcBorders>
            <w:bottom w:val="single" w:sz="4" w:space="0" w:color="auto"/>
          </w:tcBorders>
        </w:tcPr>
        <w:p w:rsidR="00D71CB9" w:rsidRPr="00DF68A2" w:rsidRDefault="00D71CB9" w:rsidP="00DF68A2">
          <w:pPr>
            <w:tabs>
              <w:tab w:val="center" w:pos="4252"/>
              <w:tab w:val="right" w:pos="8504"/>
            </w:tabs>
            <w:spacing w:after="0" w:line="240" w:lineRule="auto"/>
            <w:rPr>
              <w:rFonts w:eastAsia="Calibri"/>
              <w:lang w:val="es-CL"/>
            </w:rPr>
          </w:pPr>
          <w:r w:rsidRPr="00DF68A2">
            <w:rPr>
              <w:rFonts w:eastAsia="Calibri"/>
              <w:noProof/>
              <w:lang w:eastAsia="es-MX"/>
            </w:rPr>
            <w:drawing>
              <wp:inline distT="0" distB="0" distL="0" distR="0" wp14:anchorId="74262242" wp14:editId="75FD3E40">
                <wp:extent cx="2266315" cy="612140"/>
                <wp:effectExtent l="1905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266315" cy="612140"/>
                        </a:xfrm>
                        <a:prstGeom prst="rect">
                          <a:avLst/>
                        </a:prstGeom>
                        <a:noFill/>
                        <a:ln w="9525">
                          <a:noFill/>
                          <a:miter lim="800000"/>
                          <a:headEnd/>
                          <a:tailEnd/>
                        </a:ln>
                      </pic:spPr>
                    </pic:pic>
                  </a:graphicData>
                </a:graphic>
              </wp:inline>
            </w:drawing>
          </w:r>
        </w:p>
      </w:tc>
      <w:tc>
        <w:tcPr>
          <w:tcW w:w="2994" w:type="pct"/>
          <w:tcBorders>
            <w:bottom w:val="single" w:sz="4" w:space="0" w:color="auto"/>
          </w:tcBorders>
          <w:vAlign w:val="center"/>
        </w:tcPr>
        <w:p w:rsidR="00D71CB9" w:rsidRPr="00DF68A2" w:rsidRDefault="00D71CB9" w:rsidP="00DF68A2">
          <w:pPr>
            <w:spacing w:after="0"/>
            <w:jc w:val="right"/>
            <w:rPr>
              <w:rFonts w:eastAsia="Calibri"/>
              <w:b/>
              <w:lang w:val="es-CL"/>
            </w:rPr>
          </w:pPr>
          <w:r w:rsidRPr="00DF68A2">
            <w:rPr>
              <w:rFonts w:eastAsia="Calibri"/>
              <w:b/>
              <w:lang w:val="es-CL"/>
            </w:rPr>
            <w:t>Red de Transparencia y Acceso a la Información (RTA)</w:t>
          </w:r>
        </w:p>
        <w:p w:rsidR="00D71CB9" w:rsidRPr="003A0008" w:rsidRDefault="001D2FE3" w:rsidP="00DF68A2">
          <w:pPr>
            <w:spacing w:after="0"/>
            <w:jc w:val="right"/>
            <w:rPr>
              <w:rFonts w:eastAsia="Calibri"/>
              <w:b/>
              <w:lang w:val="es-CL"/>
            </w:rPr>
          </w:pPr>
          <w:r>
            <w:rPr>
              <w:rFonts w:eastAsia="Calibri"/>
              <w:b/>
              <w:lang w:val="es-CL"/>
            </w:rPr>
            <w:t>C</w:t>
          </w:r>
          <w:r w:rsidR="00D71CB9" w:rsidRPr="003A0008">
            <w:rPr>
              <w:rFonts w:eastAsia="Calibri"/>
              <w:b/>
              <w:lang w:val="es-CL"/>
            </w:rPr>
            <w:t>riterio del Primer Debate temático</w:t>
          </w:r>
        </w:p>
        <w:p w:rsidR="00D71CB9" w:rsidRPr="00DF68A2" w:rsidRDefault="00D71CB9" w:rsidP="00DF68A2">
          <w:pPr>
            <w:spacing w:after="0"/>
            <w:jc w:val="right"/>
            <w:rPr>
              <w:rFonts w:eastAsia="Calibri"/>
              <w:lang w:val="es-CL"/>
            </w:rPr>
          </w:pPr>
        </w:p>
      </w:tc>
    </w:tr>
  </w:tbl>
  <w:p w:rsidR="00D71CB9" w:rsidRDefault="00D71C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4AF9"/>
    <w:multiLevelType w:val="hybridMultilevel"/>
    <w:tmpl w:val="D6B8E088"/>
    <w:lvl w:ilvl="0" w:tplc="69D2FDD4">
      <w:start w:val="1"/>
      <w:numFmt w:val="lowerLetter"/>
      <w:lvlText w:val="%1)"/>
      <w:lvlJc w:val="left"/>
      <w:pPr>
        <w:ind w:left="720" w:hanging="360"/>
      </w:pPr>
      <w:rPr>
        <w:rFonts w:hint="default"/>
        <w:b w:val="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143AE9"/>
    <w:multiLevelType w:val="hybridMultilevel"/>
    <w:tmpl w:val="6C962D2E"/>
    <w:lvl w:ilvl="0" w:tplc="48901FCE">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372957"/>
    <w:multiLevelType w:val="hybridMultilevel"/>
    <w:tmpl w:val="313E8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2D4B83"/>
    <w:multiLevelType w:val="hybridMultilevel"/>
    <w:tmpl w:val="7E52ACCE"/>
    <w:lvl w:ilvl="0" w:tplc="48901FC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233A17"/>
    <w:multiLevelType w:val="hybridMultilevel"/>
    <w:tmpl w:val="380CA3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55F03BF"/>
    <w:multiLevelType w:val="hybridMultilevel"/>
    <w:tmpl w:val="484606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03102A"/>
    <w:multiLevelType w:val="hybridMultilevel"/>
    <w:tmpl w:val="B758486C"/>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4AB3726A"/>
    <w:multiLevelType w:val="hybridMultilevel"/>
    <w:tmpl w:val="3B00EB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4637DC"/>
    <w:multiLevelType w:val="hybridMultilevel"/>
    <w:tmpl w:val="846E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D06CB3"/>
    <w:multiLevelType w:val="hybridMultilevel"/>
    <w:tmpl w:val="E110BA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3"/>
  </w:num>
  <w:num w:numId="6">
    <w:abstractNumId w:val="9"/>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A8"/>
    <w:rsid w:val="000814AB"/>
    <w:rsid w:val="000C1D2C"/>
    <w:rsid w:val="000C4F31"/>
    <w:rsid w:val="00117F82"/>
    <w:rsid w:val="00126802"/>
    <w:rsid w:val="001350F7"/>
    <w:rsid w:val="00174AE2"/>
    <w:rsid w:val="001D2FE3"/>
    <w:rsid w:val="001F2658"/>
    <w:rsid w:val="001F3A2F"/>
    <w:rsid w:val="00222482"/>
    <w:rsid w:val="00225262"/>
    <w:rsid w:val="00227BF3"/>
    <w:rsid w:val="00246152"/>
    <w:rsid w:val="00266B08"/>
    <w:rsid w:val="002867C0"/>
    <w:rsid w:val="002B7465"/>
    <w:rsid w:val="002C7D86"/>
    <w:rsid w:val="002D05E3"/>
    <w:rsid w:val="002E0ABA"/>
    <w:rsid w:val="002E712A"/>
    <w:rsid w:val="003533D9"/>
    <w:rsid w:val="00373114"/>
    <w:rsid w:val="00384EA2"/>
    <w:rsid w:val="00386135"/>
    <w:rsid w:val="00396F64"/>
    <w:rsid w:val="003A0008"/>
    <w:rsid w:val="003A062E"/>
    <w:rsid w:val="003B0934"/>
    <w:rsid w:val="003B583A"/>
    <w:rsid w:val="003C4039"/>
    <w:rsid w:val="003C6105"/>
    <w:rsid w:val="003D6712"/>
    <w:rsid w:val="003E68A7"/>
    <w:rsid w:val="004448D6"/>
    <w:rsid w:val="0046186E"/>
    <w:rsid w:val="00477958"/>
    <w:rsid w:val="004919E2"/>
    <w:rsid w:val="004C6F2C"/>
    <w:rsid w:val="004D0894"/>
    <w:rsid w:val="004F66A9"/>
    <w:rsid w:val="00506F09"/>
    <w:rsid w:val="00544E80"/>
    <w:rsid w:val="0055095B"/>
    <w:rsid w:val="005765DF"/>
    <w:rsid w:val="005964EB"/>
    <w:rsid w:val="005B5C0F"/>
    <w:rsid w:val="005C42E2"/>
    <w:rsid w:val="005E778C"/>
    <w:rsid w:val="00612D09"/>
    <w:rsid w:val="0061503A"/>
    <w:rsid w:val="00627756"/>
    <w:rsid w:val="00636AD1"/>
    <w:rsid w:val="006506BC"/>
    <w:rsid w:val="006B3243"/>
    <w:rsid w:val="006B6AD0"/>
    <w:rsid w:val="006B75CA"/>
    <w:rsid w:val="006E6BAE"/>
    <w:rsid w:val="00721BDC"/>
    <w:rsid w:val="007379C7"/>
    <w:rsid w:val="00757AFE"/>
    <w:rsid w:val="007C34D1"/>
    <w:rsid w:val="008226CE"/>
    <w:rsid w:val="00855AD9"/>
    <w:rsid w:val="00882D04"/>
    <w:rsid w:val="008957D2"/>
    <w:rsid w:val="00897109"/>
    <w:rsid w:val="00897BCE"/>
    <w:rsid w:val="008A68F9"/>
    <w:rsid w:val="008B271C"/>
    <w:rsid w:val="008D446B"/>
    <w:rsid w:val="008E0EA9"/>
    <w:rsid w:val="00937793"/>
    <w:rsid w:val="009551A7"/>
    <w:rsid w:val="009622B1"/>
    <w:rsid w:val="00993F83"/>
    <w:rsid w:val="009B3C60"/>
    <w:rsid w:val="009E4663"/>
    <w:rsid w:val="00A7410D"/>
    <w:rsid w:val="00A90C9B"/>
    <w:rsid w:val="00AA2092"/>
    <w:rsid w:val="00B246A0"/>
    <w:rsid w:val="00B814A8"/>
    <w:rsid w:val="00C00467"/>
    <w:rsid w:val="00C14114"/>
    <w:rsid w:val="00C75BF1"/>
    <w:rsid w:val="00CA36B7"/>
    <w:rsid w:val="00CC210C"/>
    <w:rsid w:val="00CC4304"/>
    <w:rsid w:val="00CD7DFF"/>
    <w:rsid w:val="00D02BD5"/>
    <w:rsid w:val="00D03698"/>
    <w:rsid w:val="00D15F7E"/>
    <w:rsid w:val="00D71CB9"/>
    <w:rsid w:val="00DD4763"/>
    <w:rsid w:val="00DF68A2"/>
    <w:rsid w:val="00E21F1E"/>
    <w:rsid w:val="00E33EFF"/>
    <w:rsid w:val="00EA20F0"/>
    <w:rsid w:val="00EB0D07"/>
    <w:rsid w:val="00ED4F02"/>
    <w:rsid w:val="00EE100E"/>
    <w:rsid w:val="00EF1915"/>
    <w:rsid w:val="00F02D1B"/>
    <w:rsid w:val="00F05511"/>
    <w:rsid w:val="00F7213A"/>
    <w:rsid w:val="00F75E4E"/>
    <w:rsid w:val="00FC18B1"/>
    <w:rsid w:val="00FE5C4C"/>
    <w:rsid w:val="00FF4B8E"/>
    <w:rsid w:val="00FF6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E3"/>
    <w:pPr>
      <w:suppressAutoHyphens/>
    </w:pPr>
    <w:rPr>
      <w:rFonts w:ascii="Calibri" w:eastAsia="Droid Sans" w:hAnsi="Calibri" w:cs="Calibri"/>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8A2"/>
    <w:pPr>
      <w:tabs>
        <w:tab w:val="center" w:pos="4419"/>
        <w:tab w:val="right" w:pos="8838"/>
      </w:tabs>
      <w:suppressAutoHyphens w:val="0"/>
      <w:spacing w:after="0" w:line="240" w:lineRule="auto"/>
    </w:pPr>
    <w:rPr>
      <w:rFonts w:asciiTheme="minorHAnsi" w:eastAsiaTheme="minorHAnsi" w:hAnsiTheme="minorHAnsi" w:cstheme="minorBidi"/>
      <w:kern w:val="0"/>
    </w:rPr>
  </w:style>
  <w:style w:type="character" w:customStyle="1" w:styleId="EncabezadoCar">
    <w:name w:val="Encabezado Car"/>
    <w:basedOn w:val="Fuentedeprrafopredeter"/>
    <w:link w:val="Encabezado"/>
    <w:uiPriority w:val="99"/>
    <w:rsid w:val="00DF68A2"/>
  </w:style>
  <w:style w:type="paragraph" w:styleId="Piedepgina">
    <w:name w:val="footer"/>
    <w:basedOn w:val="Normal"/>
    <w:link w:val="PiedepginaCar"/>
    <w:uiPriority w:val="99"/>
    <w:unhideWhenUsed/>
    <w:rsid w:val="00DF68A2"/>
    <w:pPr>
      <w:tabs>
        <w:tab w:val="center" w:pos="4419"/>
        <w:tab w:val="right" w:pos="8838"/>
      </w:tabs>
      <w:suppressAutoHyphens w:val="0"/>
      <w:spacing w:after="0" w:line="240" w:lineRule="auto"/>
    </w:pPr>
    <w:rPr>
      <w:rFonts w:asciiTheme="minorHAnsi" w:eastAsiaTheme="minorHAnsi" w:hAnsiTheme="minorHAnsi" w:cstheme="minorBidi"/>
      <w:kern w:val="0"/>
    </w:rPr>
  </w:style>
  <w:style w:type="character" w:customStyle="1" w:styleId="PiedepginaCar">
    <w:name w:val="Pie de página Car"/>
    <w:basedOn w:val="Fuentedeprrafopredeter"/>
    <w:link w:val="Piedepgina"/>
    <w:uiPriority w:val="99"/>
    <w:rsid w:val="00DF68A2"/>
  </w:style>
  <w:style w:type="paragraph" w:styleId="Textodeglobo">
    <w:name w:val="Balloon Text"/>
    <w:basedOn w:val="Normal"/>
    <w:link w:val="TextodegloboCar"/>
    <w:uiPriority w:val="99"/>
    <w:semiHidden/>
    <w:unhideWhenUsed/>
    <w:rsid w:val="00DF68A2"/>
    <w:pPr>
      <w:suppressAutoHyphens w:val="0"/>
      <w:spacing w:after="0" w:line="240" w:lineRule="auto"/>
    </w:pPr>
    <w:rPr>
      <w:rFonts w:ascii="Tahoma" w:eastAsiaTheme="minorHAnsi" w:hAnsi="Tahoma" w:cs="Tahoma"/>
      <w:kern w:val="0"/>
      <w:sz w:val="16"/>
      <w:szCs w:val="16"/>
    </w:rPr>
  </w:style>
  <w:style w:type="character" w:customStyle="1" w:styleId="TextodegloboCar">
    <w:name w:val="Texto de globo Car"/>
    <w:basedOn w:val="Fuentedeprrafopredeter"/>
    <w:link w:val="Textodeglobo"/>
    <w:uiPriority w:val="99"/>
    <w:semiHidden/>
    <w:rsid w:val="00DF68A2"/>
    <w:rPr>
      <w:rFonts w:ascii="Tahoma" w:hAnsi="Tahoma" w:cs="Tahoma"/>
      <w:sz w:val="16"/>
      <w:szCs w:val="16"/>
    </w:rPr>
  </w:style>
  <w:style w:type="paragraph" w:styleId="Prrafodelista">
    <w:name w:val="List Paragraph"/>
    <w:basedOn w:val="Normal"/>
    <w:uiPriority w:val="34"/>
    <w:qFormat/>
    <w:rsid w:val="00E33EFF"/>
    <w:pPr>
      <w:suppressAutoHyphens w:val="0"/>
      <w:ind w:left="720"/>
      <w:contextualSpacing/>
    </w:pPr>
    <w:rPr>
      <w:rFonts w:asciiTheme="minorHAnsi" w:eastAsiaTheme="minorHAnsi" w:hAnsiTheme="minorHAnsi" w:cstheme="minorBidi"/>
      <w:kern w:val="0"/>
    </w:rPr>
  </w:style>
  <w:style w:type="table" w:customStyle="1" w:styleId="TableNormal">
    <w:name w:val="Table Normal"/>
    <w:uiPriority w:val="2"/>
    <w:semiHidden/>
    <w:unhideWhenUsed/>
    <w:qFormat/>
    <w:rsid w:val="003533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3D9"/>
    <w:pPr>
      <w:widowControl w:val="0"/>
      <w:suppressAutoHyphens w:val="0"/>
      <w:spacing w:after="0" w:line="240" w:lineRule="auto"/>
    </w:pPr>
    <w:rPr>
      <w:rFonts w:asciiTheme="minorHAnsi" w:eastAsiaTheme="minorHAnsi" w:hAnsiTheme="minorHAnsi" w:cstheme="minorBidi"/>
      <w:kern w:val="0"/>
      <w:lang w:val="en-US"/>
    </w:rPr>
  </w:style>
  <w:style w:type="character" w:styleId="Refdecomentario">
    <w:name w:val="annotation reference"/>
    <w:basedOn w:val="Fuentedeprrafopredeter"/>
    <w:uiPriority w:val="99"/>
    <w:semiHidden/>
    <w:unhideWhenUsed/>
    <w:rsid w:val="003533D9"/>
    <w:rPr>
      <w:sz w:val="16"/>
      <w:szCs w:val="16"/>
    </w:rPr>
  </w:style>
  <w:style w:type="paragraph" w:styleId="Textocomentario">
    <w:name w:val="annotation text"/>
    <w:basedOn w:val="Normal"/>
    <w:link w:val="TextocomentarioCar"/>
    <w:uiPriority w:val="99"/>
    <w:semiHidden/>
    <w:unhideWhenUsed/>
    <w:rsid w:val="003533D9"/>
    <w:pPr>
      <w:widowControl w:val="0"/>
      <w:suppressAutoHyphens w:val="0"/>
      <w:spacing w:after="0" w:line="240" w:lineRule="auto"/>
    </w:pPr>
    <w:rPr>
      <w:rFonts w:asciiTheme="minorHAnsi" w:eastAsiaTheme="minorHAnsi" w:hAnsiTheme="minorHAnsi" w:cstheme="minorBidi"/>
      <w:kern w:val="0"/>
      <w:sz w:val="20"/>
      <w:szCs w:val="20"/>
      <w:lang w:val="en-US"/>
    </w:rPr>
  </w:style>
  <w:style w:type="character" w:customStyle="1" w:styleId="TextocomentarioCar">
    <w:name w:val="Texto comentario Car"/>
    <w:basedOn w:val="Fuentedeprrafopredeter"/>
    <w:link w:val="Textocomentario"/>
    <w:uiPriority w:val="99"/>
    <w:semiHidden/>
    <w:rsid w:val="003533D9"/>
    <w:rPr>
      <w:sz w:val="20"/>
      <w:szCs w:val="20"/>
      <w:lang w:val="en-US"/>
    </w:rPr>
  </w:style>
  <w:style w:type="character" w:styleId="Hipervnculo">
    <w:name w:val="Hyperlink"/>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rsid w:val="005964EB"/>
    <w:rPr>
      <w:color w:val="800080" w:themeColor="followedHyperlink"/>
      <w:u w:val="single"/>
    </w:rPr>
  </w:style>
  <w:style w:type="table" w:styleId="Tablaconcuadrcula">
    <w:name w:val="Table Grid"/>
    <w:basedOn w:val="Tablanormal"/>
    <w:uiPriority w:val="59"/>
    <w:rsid w:val="006B324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B324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B32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suntodelcomentario">
    <w:name w:val="annotation subject"/>
    <w:basedOn w:val="Textocomentario"/>
    <w:next w:val="Textocomentario"/>
    <w:link w:val="AsuntodelcomentarioCar"/>
    <w:uiPriority w:val="99"/>
    <w:semiHidden/>
    <w:unhideWhenUsed/>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rsid w:val="00D15F7E"/>
    <w:rPr>
      <w:b/>
      <w:bCs/>
      <w:sz w:val="20"/>
      <w:szCs w:val="20"/>
      <w:lang w:val="en-US"/>
    </w:rPr>
  </w:style>
  <w:style w:type="paragraph" w:customStyle="1" w:styleId="Default">
    <w:name w:val="Default"/>
    <w:rsid w:val="00F02D1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E3"/>
    <w:pPr>
      <w:suppressAutoHyphens/>
    </w:pPr>
    <w:rPr>
      <w:rFonts w:ascii="Calibri" w:eastAsia="Droid Sans" w:hAnsi="Calibri" w:cs="Calibri"/>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8A2"/>
    <w:pPr>
      <w:tabs>
        <w:tab w:val="center" w:pos="4419"/>
        <w:tab w:val="right" w:pos="8838"/>
      </w:tabs>
      <w:suppressAutoHyphens w:val="0"/>
      <w:spacing w:after="0" w:line="240" w:lineRule="auto"/>
    </w:pPr>
    <w:rPr>
      <w:rFonts w:asciiTheme="minorHAnsi" w:eastAsiaTheme="minorHAnsi" w:hAnsiTheme="minorHAnsi" w:cstheme="minorBidi"/>
      <w:kern w:val="0"/>
    </w:rPr>
  </w:style>
  <w:style w:type="character" w:customStyle="1" w:styleId="EncabezadoCar">
    <w:name w:val="Encabezado Car"/>
    <w:basedOn w:val="Fuentedeprrafopredeter"/>
    <w:link w:val="Encabezado"/>
    <w:uiPriority w:val="99"/>
    <w:rsid w:val="00DF68A2"/>
  </w:style>
  <w:style w:type="paragraph" w:styleId="Piedepgina">
    <w:name w:val="footer"/>
    <w:basedOn w:val="Normal"/>
    <w:link w:val="PiedepginaCar"/>
    <w:uiPriority w:val="99"/>
    <w:unhideWhenUsed/>
    <w:rsid w:val="00DF68A2"/>
    <w:pPr>
      <w:tabs>
        <w:tab w:val="center" w:pos="4419"/>
        <w:tab w:val="right" w:pos="8838"/>
      </w:tabs>
      <w:suppressAutoHyphens w:val="0"/>
      <w:spacing w:after="0" w:line="240" w:lineRule="auto"/>
    </w:pPr>
    <w:rPr>
      <w:rFonts w:asciiTheme="minorHAnsi" w:eastAsiaTheme="minorHAnsi" w:hAnsiTheme="minorHAnsi" w:cstheme="minorBidi"/>
      <w:kern w:val="0"/>
    </w:rPr>
  </w:style>
  <w:style w:type="character" w:customStyle="1" w:styleId="PiedepginaCar">
    <w:name w:val="Pie de página Car"/>
    <w:basedOn w:val="Fuentedeprrafopredeter"/>
    <w:link w:val="Piedepgina"/>
    <w:uiPriority w:val="99"/>
    <w:rsid w:val="00DF68A2"/>
  </w:style>
  <w:style w:type="paragraph" w:styleId="Textodeglobo">
    <w:name w:val="Balloon Text"/>
    <w:basedOn w:val="Normal"/>
    <w:link w:val="TextodegloboCar"/>
    <w:uiPriority w:val="99"/>
    <w:semiHidden/>
    <w:unhideWhenUsed/>
    <w:rsid w:val="00DF68A2"/>
    <w:pPr>
      <w:suppressAutoHyphens w:val="0"/>
      <w:spacing w:after="0" w:line="240" w:lineRule="auto"/>
    </w:pPr>
    <w:rPr>
      <w:rFonts w:ascii="Tahoma" w:eastAsiaTheme="minorHAnsi" w:hAnsi="Tahoma" w:cs="Tahoma"/>
      <w:kern w:val="0"/>
      <w:sz w:val="16"/>
      <w:szCs w:val="16"/>
    </w:rPr>
  </w:style>
  <w:style w:type="character" w:customStyle="1" w:styleId="TextodegloboCar">
    <w:name w:val="Texto de globo Car"/>
    <w:basedOn w:val="Fuentedeprrafopredeter"/>
    <w:link w:val="Textodeglobo"/>
    <w:uiPriority w:val="99"/>
    <w:semiHidden/>
    <w:rsid w:val="00DF68A2"/>
    <w:rPr>
      <w:rFonts w:ascii="Tahoma" w:hAnsi="Tahoma" w:cs="Tahoma"/>
      <w:sz w:val="16"/>
      <w:szCs w:val="16"/>
    </w:rPr>
  </w:style>
  <w:style w:type="paragraph" w:styleId="Prrafodelista">
    <w:name w:val="List Paragraph"/>
    <w:basedOn w:val="Normal"/>
    <w:uiPriority w:val="34"/>
    <w:qFormat/>
    <w:rsid w:val="00E33EFF"/>
    <w:pPr>
      <w:suppressAutoHyphens w:val="0"/>
      <w:ind w:left="720"/>
      <w:contextualSpacing/>
    </w:pPr>
    <w:rPr>
      <w:rFonts w:asciiTheme="minorHAnsi" w:eastAsiaTheme="minorHAnsi" w:hAnsiTheme="minorHAnsi" w:cstheme="minorBidi"/>
      <w:kern w:val="0"/>
    </w:rPr>
  </w:style>
  <w:style w:type="table" w:customStyle="1" w:styleId="TableNormal">
    <w:name w:val="Table Normal"/>
    <w:uiPriority w:val="2"/>
    <w:semiHidden/>
    <w:unhideWhenUsed/>
    <w:qFormat/>
    <w:rsid w:val="003533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3D9"/>
    <w:pPr>
      <w:widowControl w:val="0"/>
      <w:suppressAutoHyphens w:val="0"/>
      <w:spacing w:after="0" w:line="240" w:lineRule="auto"/>
    </w:pPr>
    <w:rPr>
      <w:rFonts w:asciiTheme="minorHAnsi" w:eastAsiaTheme="minorHAnsi" w:hAnsiTheme="minorHAnsi" w:cstheme="minorBidi"/>
      <w:kern w:val="0"/>
      <w:lang w:val="en-US"/>
    </w:rPr>
  </w:style>
  <w:style w:type="character" w:styleId="Refdecomentario">
    <w:name w:val="annotation reference"/>
    <w:basedOn w:val="Fuentedeprrafopredeter"/>
    <w:uiPriority w:val="99"/>
    <w:semiHidden/>
    <w:unhideWhenUsed/>
    <w:rsid w:val="003533D9"/>
    <w:rPr>
      <w:sz w:val="16"/>
      <w:szCs w:val="16"/>
    </w:rPr>
  </w:style>
  <w:style w:type="paragraph" w:styleId="Textocomentario">
    <w:name w:val="annotation text"/>
    <w:basedOn w:val="Normal"/>
    <w:link w:val="TextocomentarioCar"/>
    <w:uiPriority w:val="99"/>
    <w:semiHidden/>
    <w:unhideWhenUsed/>
    <w:rsid w:val="003533D9"/>
    <w:pPr>
      <w:widowControl w:val="0"/>
      <w:suppressAutoHyphens w:val="0"/>
      <w:spacing w:after="0" w:line="240" w:lineRule="auto"/>
    </w:pPr>
    <w:rPr>
      <w:rFonts w:asciiTheme="minorHAnsi" w:eastAsiaTheme="minorHAnsi" w:hAnsiTheme="minorHAnsi" w:cstheme="minorBidi"/>
      <w:kern w:val="0"/>
      <w:sz w:val="20"/>
      <w:szCs w:val="20"/>
      <w:lang w:val="en-US"/>
    </w:rPr>
  </w:style>
  <w:style w:type="character" w:customStyle="1" w:styleId="TextocomentarioCar">
    <w:name w:val="Texto comentario Car"/>
    <w:basedOn w:val="Fuentedeprrafopredeter"/>
    <w:link w:val="Textocomentario"/>
    <w:uiPriority w:val="99"/>
    <w:semiHidden/>
    <w:rsid w:val="003533D9"/>
    <w:rPr>
      <w:sz w:val="20"/>
      <w:szCs w:val="20"/>
      <w:lang w:val="en-US"/>
    </w:rPr>
  </w:style>
  <w:style w:type="character" w:styleId="Hipervnculo">
    <w:name w:val="Hyperlink"/>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rsid w:val="005964EB"/>
    <w:rPr>
      <w:color w:val="800080" w:themeColor="followedHyperlink"/>
      <w:u w:val="single"/>
    </w:rPr>
  </w:style>
  <w:style w:type="table" w:styleId="Tablaconcuadrcula">
    <w:name w:val="Table Grid"/>
    <w:basedOn w:val="Tablanormal"/>
    <w:uiPriority w:val="59"/>
    <w:rsid w:val="006B324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B324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B32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suntodelcomentario">
    <w:name w:val="annotation subject"/>
    <w:basedOn w:val="Textocomentario"/>
    <w:next w:val="Textocomentario"/>
    <w:link w:val="AsuntodelcomentarioCar"/>
    <w:uiPriority w:val="99"/>
    <w:semiHidden/>
    <w:unhideWhenUsed/>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rsid w:val="00D15F7E"/>
    <w:rPr>
      <w:b/>
      <w:bCs/>
      <w:sz w:val="20"/>
      <w:szCs w:val="20"/>
      <w:lang w:val="en-US"/>
    </w:rPr>
  </w:style>
  <w:style w:type="paragraph" w:customStyle="1" w:styleId="Default">
    <w:name w:val="Default"/>
    <w:rsid w:val="00F02D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1CCD49C2-FAE4-4EE9-AF1B-6C0DA8CDADC2}"/>
</file>

<file path=customXml/itemProps2.xml><?xml version="1.0" encoding="utf-8"?>
<ds:datastoreItem xmlns:ds="http://schemas.openxmlformats.org/officeDocument/2006/customXml" ds:itemID="{F3EF747F-A8D1-4CBF-895A-EDE391AC7502}"/>
</file>

<file path=customXml/itemProps3.xml><?xml version="1.0" encoding="utf-8"?>
<ds:datastoreItem xmlns:ds="http://schemas.openxmlformats.org/officeDocument/2006/customXml" ds:itemID="{922DB0D9-5393-463D-B071-298AEECE8CEC}"/>
</file>

<file path=customXml/itemProps4.xml><?xml version="1.0" encoding="utf-8"?>
<ds:datastoreItem xmlns:ds="http://schemas.openxmlformats.org/officeDocument/2006/customXml" ds:itemID="{F4336E36-066C-4A6D-94E1-FA20DEBC3791}"/>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Hernández Ramírez</dc:creator>
  <cp:lastModifiedBy>Sergio Hernández Ramírez</cp:lastModifiedBy>
  <cp:revision>2</cp:revision>
  <cp:lastPrinted>2015-04-15T19:52:00Z</cp:lastPrinted>
  <dcterms:created xsi:type="dcterms:W3CDTF">2015-04-17T19:43:00Z</dcterms:created>
  <dcterms:modified xsi:type="dcterms:W3CDTF">2015-04-17T19:43:00Z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